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3E3963" w:rsidTr="003E3963">
        <w:tc>
          <w:tcPr>
            <w:tcW w:w="3000" w:type="pct"/>
            <w:tcBorders>
              <w:top w:val="single" w:sz="2" w:space="0" w:color="auto"/>
              <w:left w:val="single" w:sz="2" w:space="0" w:color="auto"/>
              <w:bottom w:val="single" w:sz="2" w:space="0" w:color="auto"/>
              <w:right w:val="single" w:sz="2" w:space="0" w:color="auto"/>
            </w:tcBorders>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ЗАТВЕРДЖЕНО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4"/>
                <w:szCs w:val="24"/>
                <w:lang w:eastAsia="uk-UA"/>
              </w:rPr>
              <w:t>постановою Кабінету Міністрів України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4"/>
                <w:szCs w:val="24"/>
                <w:lang w:eastAsia="uk-UA"/>
              </w:rPr>
              <w:t>від 11 квітня 2018 р. № 273</w:t>
            </w:r>
          </w:p>
        </w:tc>
      </w:tr>
    </w:tbl>
    <w:p w:rsidR="003E3963" w:rsidRDefault="003E3963" w:rsidP="003E3963">
      <w:pPr>
        <w:spacing w:before="300" w:after="450" w:line="240" w:lineRule="auto"/>
        <w:ind w:left="450" w:right="450"/>
        <w:jc w:val="center"/>
        <w:rPr>
          <w:rFonts w:ascii="Times New Roman" w:eastAsia="Times New Roman" w:hAnsi="Times New Roman" w:cs="Times New Roman"/>
          <w:sz w:val="24"/>
          <w:szCs w:val="24"/>
          <w:lang w:eastAsia="uk-UA"/>
        </w:rPr>
      </w:pPr>
      <w:bookmarkStart w:id="0" w:name="n12"/>
      <w:bookmarkEnd w:id="0"/>
      <w:r>
        <w:rPr>
          <w:rFonts w:ascii="Times New Roman" w:eastAsia="Times New Roman" w:hAnsi="Times New Roman" w:cs="Times New Roman"/>
          <w:b/>
          <w:bCs/>
          <w:color w:val="000000"/>
          <w:sz w:val="32"/>
          <w:szCs w:val="32"/>
          <w:lang w:eastAsia="uk-UA"/>
        </w:rPr>
        <w:t>ДЕРЖАВНА СОЦІАЛЬНА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32"/>
          <w:szCs w:val="32"/>
          <w:lang w:eastAsia="uk-UA"/>
        </w:rPr>
        <w:t>програма забезпечення рівних прав та можливостей жінок і чоловіків на період до 2021 року</w:t>
      </w:r>
    </w:p>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1" w:name="n13"/>
      <w:bookmarkEnd w:id="1"/>
      <w:r>
        <w:rPr>
          <w:rFonts w:ascii="Times New Roman" w:eastAsia="Times New Roman" w:hAnsi="Times New Roman" w:cs="Times New Roman"/>
          <w:b/>
          <w:bCs/>
          <w:color w:val="000000"/>
          <w:sz w:val="28"/>
          <w:szCs w:val="28"/>
          <w:lang w:eastAsia="uk-UA"/>
        </w:rPr>
        <w:t>Мета Програми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 w:name="n14"/>
      <w:bookmarkEnd w:id="2"/>
      <w:r>
        <w:rPr>
          <w:rFonts w:ascii="Times New Roman" w:eastAsia="Times New Roman" w:hAnsi="Times New Roman" w:cs="Times New Roman"/>
          <w:sz w:val="24"/>
          <w:szCs w:val="24"/>
          <w:lang w:eastAsia="uk-UA"/>
        </w:rPr>
        <w:t>Метою Програми є удосконалення механізму забезпечення рівних прав та можливостей жінок і чоловіків у всіх сферах життя суспільства та впровадження європейських стандартів рівності.</w:t>
      </w:r>
    </w:p>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3" w:name="n15"/>
      <w:bookmarkEnd w:id="3"/>
      <w:r>
        <w:rPr>
          <w:rFonts w:ascii="Times New Roman" w:eastAsia="Times New Roman" w:hAnsi="Times New Roman" w:cs="Times New Roman"/>
          <w:b/>
          <w:bCs/>
          <w:color w:val="000000"/>
          <w:sz w:val="28"/>
          <w:szCs w:val="28"/>
          <w:lang w:eastAsia="uk-UA"/>
        </w:rPr>
        <w:t>Шляхи і способи розв’язання проблеми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 w:name="n16"/>
      <w:bookmarkEnd w:id="4"/>
      <w:r>
        <w:rPr>
          <w:rFonts w:ascii="Times New Roman" w:eastAsia="Times New Roman" w:hAnsi="Times New Roman" w:cs="Times New Roman"/>
          <w:sz w:val="24"/>
          <w:szCs w:val="24"/>
          <w:lang w:eastAsia="uk-UA"/>
        </w:rPr>
        <w:t>Проблему недостатнього рівня впровадження принципу забезпечення рівних прав та можливостей жінок і чоловіків передбачається розв’язати шляхом застосуванням комплексного підходу та здійснення заходів, спрямованих на виконання таких пріоритетів: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5" w:name="n17"/>
      <w:bookmarkEnd w:id="5"/>
      <w:r>
        <w:rPr>
          <w:rFonts w:ascii="Times New Roman" w:eastAsia="Times New Roman" w:hAnsi="Times New Roman" w:cs="Times New Roman"/>
          <w:sz w:val="24"/>
          <w:szCs w:val="24"/>
          <w:lang w:eastAsia="uk-UA"/>
        </w:rPr>
        <w:t>удосконалення нормативно-правової бази, механізму проведення гендерно-правової експертизи та впровадження статистичних показників у сфері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6" w:name="n18"/>
      <w:bookmarkEnd w:id="6"/>
      <w:r>
        <w:rPr>
          <w:rFonts w:ascii="Times New Roman" w:eastAsia="Times New Roman" w:hAnsi="Times New Roman" w:cs="Times New Roman"/>
          <w:sz w:val="24"/>
          <w:szCs w:val="24"/>
          <w:lang w:eastAsia="uk-UA"/>
        </w:rPr>
        <w:t>- урахування гендерного компонента в програмах економічного та соціального розвитку з урахуванням актуальних потреб галузей і регіонів;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7" w:name="n19"/>
      <w:bookmarkEnd w:id="7"/>
      <w:r>
        <w:rPr>
          <w:rFonts w:ascii="Times New Roman" w:eastAsia="Times New Roman" w:hAnsi="Times New Roman" w:cs="Times New Roman"/>
          <w:sz w:val="24"/>
          <w:szCs w:val="24"/>
          <w:lang w:eastAsia="uk-UA"/>
        </w:rPr>
        <w:t>- 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8" w:name="n20"/>
      <w:bookmarkEnd w:id="8"/>
      <w:r>
        <w:rPr>
          <w:rFonts w:ascii="Times New Roman" w:eastAsia="Times New Roman" w:hAnsi="Times New Roman" w:cs="Times New Roman"/>
          <w:sz w:val="24"/>
          <w:szCs w:val="24"/>
          <w:lang w:eastAsia="uk-UA"/>
        </w:rPr>
        <w:t>підвищення професійного рівня державних службовців та посадових осіб місцевого самоврядування щодо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9" w:name="n21"/>
      <w:bookmarkEnd w:id="9"/>
      <w:r>
        <w:rPr>
          <w:rFonts w:ascii="Times New Roman" w:eastAsia="Times New Roman" w:hAnsi="Times New Roman" w:cs="Times New Roman"/>
          <w:sz w:val="24"/>
          <w:szCs w:val="24"/>
          <w:lang w:eastAsia="uk-UA"/>
        </w:rPr>
        <w:t>- зменшення гендерного дисбалансу у сфері державної служби та управління людськими ресурсами;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0" w:name="n22"/>
      <w:bookmarkEnd w:id="10"/>
      <w:r>
        <w:rPr>
          <w:rFonts w:ascii="Times New Roman" w:eastAsia="Times New Roman" w:hAnsi="Times New Roman" w:cs="Times New Roman"/>
          <w:sz w:val="24"/>
          <w:szCs w:val="24"/>
          <w:lang w:eastAsia="uk-UA"/>
        </w:rPr>
        <w:t>- внесення до програм курсів підвищення кваліфікації державних службовців і посадових осіб місцевого самоврядування питань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1" w:name="n23"/>
      <w:bookmarkEnd w:id="11"/>
      <w:r>
        <w:rPr>
          <w:rFonts w:ascii="Times New Roman" w:eastAsia="Times New Roman" w:hAnsi="Times New Roman" w:cs="Times New Roman"/>
          <w:sz w:val="24"/>
          <w:szCs w:val="24"/>
          <w:lang w:eastAsia="uk-UA"/>
        </w:rPr>
        <w:t>- подолання гендених стереотипів;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2" w:name="n24"/>
      <w:bookmarkEnd w:id="12"/>
      <w:r>
        <w:rPr>
          <w:rFonts w:ascii="Times New Roman" w:eastAsia="Times New Roman" w:hAnsi="Times New Roman" w:cs="Times New Roman"/>
          <w:sz w:val="24"/>
          <w:szCs w:val="24"/>
          <w:lang w:eastAsia="uk-UA"/>
        </w:rPr>
        <w:t>протидія дискримінації за ознакою статі та дискримінації більше ніж за однією ознакою, зокрема удосконалення механізму реалізації права на захист від дискримінації за ознакою статі та дискримінації за кількома ознаками, однією з яких є ознака статі, розгляду випадків такої дискримінації та вжиття відповідних заходів за його результатами;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3" w:name="n25"/>
      <w:bookmarkEnd w:id="13"/>
      <w:r>
        <w:rPr>
          <w:rFonts w:ascii="Times New Roman" w:eastAsia="Times New Roman" w:hAnsi="Times New Roman" w:cs="Times New Roman"/>
          <w:sz w:val="24"/>
          <w:szCs w:val="24"/>
          <w:lang w:eastAsia="uk-UA"/>
        </w:rPr>
        <w:t>виконання договірних та інших міжнародних зобов’язань щодо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4" w:name="n26"/>
      <w:bookmarkEnd w:id="14"/>
      <w:r>
        <w:rPr>
          <w:rFonts w:ascii="Times New Roman" w:eastAsia="Times New Roman" w:hAnsi="Times New Roman" w:cs="Times New Roman"/>
          <w:sz w:val="24"/>
          <w:szCs w:val="24"/>
          <w:lang w:eastAsia="uk-UA"/>
        </w:rPr>
        <w:t>- збільшення частки жінок серед народних депутатів України, депутатів обласних та місцевих рад (міст обласного значення);</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5" w:name="n27"/>
      <w:bookmarkEnd w:id="15"/>
      <w:r>
        <w:rPr>
          <w:rFonts w:ascii="Times New Roman" w:eastAsia="Times New Roman" w:hAnsi="Times New Roman" w:cs="Times New Roman"/>
          <w:sz w:val="24"/>
          <w:szCs w:val="24"/>
          <w:lang w:eastAsia="uk-UA"/>
        </w:rPr>
        <w:lastRenderedPageBreak/>
        <w:t>- зменшення розриву в оплаті праці;</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6" w:name="n28"/>
      <w:bookmarkEnd w:id="16"/>
      <w:r>
        <w:rPr>
          <w:rFonts w:ascii="Times New Roman" w:eastAsia="Times New Roman" w:hAnsi="Times New Roman" w:cs="Times New Roman"/>
          <w:sz w:val="24"/>
          <w:szCs w:val="24"/>
          <w:lang w:eastAsia="uk-UA"/>
        </w:rPr>
        <w:t>залучення до виконання Програми міжнародних організацій та громадських об’єднань, діяльність яких спрямовується на забезпечення рівних прав та можливостей жінок і чоловіків у суспільстві, зокрема зміцнення державно-приватного партнерства у сфері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7" w:name="n29"/>
      <w:bookmarkEnd w:id="17"/>
      <w:r>
        <w:rPr>
          <w:rFonts w:ascii="Times New Roman" w:eastAsia="Times New Roman" w:hAnsi="Times New Roman" w:cs="Times New Roman"/>
          <w:sz w:val="24"/>
          <w:szCs w:val="24"/>
          <w:lang w:eastAsia="uk-UA"/>
        </w:rPr>
        <w:t>Поєднання політики гендерного інтегрування в усіх сферах життя і за всіма напрямами суспільного розвитку та поліпшення становища жінок у тих сферах, де існує нерівність (зокрема забезпечення рівних прав для жінок і чоловіків, наданих їм Конституцією України; розширення економічних можливостей для жінок у сферах зайнятості, розвитку підприємницького потенціалу; усунення негативних гендерних стереотипів; урахування особливих потреб усіх категорій жінок і чоловіків незалежно від раси, кольору шкіри, політичних, релігійних та інших переконань, віку, інвалідності, етнічного та соціального походження, громадянства, сімейного та майнового стану, місця проживання, мовних або інших ознак), є основою забезпечення гендерної рівності та сталого розвитку суспільства.</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8" w:name="n30"/>
      <w:bookmarkEnd w:id="18"/>
      <w:r>
        <w:rPr>
          <w:rFonts w:ascii="Times New Roman" w:eastAsia="Times New Roman" w:hAnsi="Times New Roman" w:cs="Times New Roman"/>
          <w:sz w:val="24"/>
          <w:szCs w:val="24"/>
          <w:lang w:eastAsia="uk-UA"/>
        </w:rPr>
        <w:t>Ця Програма враховує міжнародні інструменти ООН, Ради Європи, Європейського Союзу, ОБСЄ, рекомендації міжнародних моніторингових інституцій у сфері прав людини, а також положення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19" w:name="n31"/>
      <w:bookmarkEnd w:id="19"/>
      <w:r>
        <w:rPr>
          <w:rFonts w:ascii="Times New Roman" w:eastAsia="Times New Roman" w:hAnsi="Times New Roman" w:cs="Times New Roman"/>
          <w:sz w:val="24"/>
          <w:szCs w:val="24"/>
          <w:lang w:eastAsia="uk-UA"/>
        </w:rPr>
        <w:t>Прогнозні обсяги та джерела фінансування Програми наведено в </w:t>
      </w:r>
      <w:hyperlink r:id="rId4" w:anchor="n52" w:history="1">
        <w:r>
          <w:rPr>
            <w:rStyle w:val="a3"/>
            <w:rFonts w:ascii="Times New Roman" w:eastAsia="Times New Roman" w:hAnsi="Times New Roman" w:cs="Times New Roman"/>
            <w:sz w:val="24"/>
            <w:szCs w:val="24"/>
            <w:lang w:eastAsia="uk-UA"/>
          </w:rPr>
          <w:t>додатку 1</w:t>
        </w:r>
      </w:hyperlink>
      <w:r>
        <w:rPr>
          <w:rFonts w:ascii="Times New Roman" w:eastAsia="Times New Roman" w:hAnsi="Times New Roman" w:cs="Times New Roman"/>
          <w:sz w:val="24"/>
          <w:szCs w:val="24"/>
          <w:lang w:eastAsia="uk-UA"/>
        </w:rPr>
        <w:t>.</w:t>
      </w:r>
    </w:p>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20" w:name="n32"/>
      <w:bookmarkEnd w:id="20"/>
      <w:r>
        <w:rPr>
          <w:rFonts w:ascii="Times New Roman" w:eastAsia="Times New Roman" w:hAnsi="Times New Roman" w:cs="Times New Roman"/>
          <w:b/>
          <w:bCs/>
          <w:color w:val="000000"/>
          <w:sz w:val="28"/>
          <w:szCs w:val="28"/>
          <w:lang w:eastAsia="uk-UA"/>
        </w:rPr>
        <w:t>Завдання і заходи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1" w:name="n33"/>
      <w:bookmarkEnd w:id="21"/>
      <w:r>
        <w:rPr>
          <w:rFonts w:ascii="Times New Roman" w:eastAsia="Times New Roman" w:hAnsi="Times New Roman" w:cs="Times New Roman"/>
          <w:sz w:val="24"/>
          <w:szCs w:val="24"/>
          <w:lang w:eastAsia="uk-UA"/>
        </w:rPr>
        <w:t>Завдання і заходи з виконання Програми наведено в </w:t>
      </w:r>
      <w:hyperlink r:id="rId5" w:anchor="n62" w:history="1">
        <w:r>
          <w:rPr>
            <w:rStyle w:val="a3"/>
            <w:rFonts w:ascii="Times New Roman" w:eastAsia="Times New Roman" w:hAnsi="Times New Roman" w:cs="Times New Roman"/>
            <w:sz w:val="24"/>
            <w:szCs w:val="24"/>
            <w:lang w:eastAsia="uk-UA"/>
          </w:rPr>
          <w:t>додатку 2</w:t>
        </w:r>
      </w:hyperlink>
      <w:r>
        <w:rPr>
          <w:rFonts w:ascii="Times New Roman" w:eastAsia="Times New Roman" w:hAnsi="Times New Roman" w:cs="Times New Roman"/>
          <w:sz w:val="24"/>
          <w:szCs w:val="24"/>
          <w:lang w:eastAsia="uk-UA"/>
        </w:rPr>
        <w:t>.</w:t>
      </w:r>
    </w:p>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22" w:name="n34"/>
      <w:bookmarkEnd w:id="22"/>
      <w:r>
        <w:rPr>
          <w:rFonts w:ascii="Times New Roman" w:eastAsia="Times New Roman" w:hAnsi="Times New Roman" w:cs="Times New Roman"/>
          <w:b/>
          <w:bCs/>
          <w:color w:val="000000"/>
          <w:sz w:val="28"/>
          <w:szCs w:val="28"/>
          <w:lang w:eastAsia="uk-UA"/>
        </w:rPr>
        <w:t>Очікувані результати, ефективність Програми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3" w:name="n35"/>
      <w:bookmarkEnd w:id="23"/>
      <w:r>
        <w:rPr>
          <w:rFonts w:ascii="Times New Roman" w:eastAsia="Times New Roman" w:hAnsi="Times New Roman" w:cs="Times New Roman"/>
          <w:sz w:val="24"/>
          <w:szCs w:val="24"/>
          <w:lang w:eastAsia="uk-UA"/>
        </w:rPr>
        <w:t>У результаті виконання Програми передбачається удосконалити механізм забезпечення рівних прав та можливостей жінок і чоловіків, що сприятиме створенню надійного підґрунтя для комплексної реалізації положень </w:t>
      </w:r>
      <w:hyperlink r:id="rId6" w:tgtFrame="_blank" w:history="1">
        <w:r>
          <w:rPr>
            <w:rStyle w:val="a3"/>
            <w:rFonts w:ascii="Times New Roman" w:eastAsia="Times New Roman" w:hAnsi="Times New Roman" w:cs="Times New Roman"/>
            <w:sz w:val="24"/>
            <w:szCs w:val="24"/>
            <w:lang w:eastAsia="uk-UA"/>
          </w:rPr>
          <w:t>Закону України</w:t>
        </w:r>
      </w:hyperlink>
      <w:r>
        <w:rPr>
          <w:rFonts w:ascii="Times New Roman" w:eastAsia="Times New Roman" w:hAnsi="Times New Roman" w:cs="Times New Roman"/>
          <w:sz w:val="24"/>
          <w:szCs w:val="24"/>
          <w:lang w:eastAsia="uk-UA"/>
        </w:rPr>
        <w:t> “Про забезпечення рівних прав та можливостей жінок і чоловіків”, міжнародних зобов’язань України та рекомендацій міжнародних моніторингових органів щодо сталого впровадження принципів гендерної рівності.</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4" w:name="n36"/>
      <w:bookmarkEnd w:id="24"/>
      <w:r>
        <w:rPr>
          <w:rFonts w:ascii="Times New Roman" w:eastAsia="Times New Roman" w:hAnsi="Times New Roman" w:cs="Times New Roman"/>
          <w:sz w:val="24"/>
          <w:szCs w:val="24"/>
          <w:lang w:eastAsia="uk-UA"/>
        </w:rPr>
        <w:t>Виконання Програми дасть змогу:</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5" w:name="n37"/>
      <w:bookmarkEnd w:id="25"/>
      <w:r>
        <w:rPr>
          <w:rFonts w:ascii="Times New Roman" w:eastAsia="Times New Roman" w:hAnsi="Times New Roman" w:cs="Times New Roman"/>
          <w:sz w:val="24"/>
          <w:szCs w:val="24"/>
          <w:lang w:eastAsia="uk-UA"/>
        </w:rPr>
        <w:t>розширити доступ жінок і чоловіків до товарів і послуг із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6" w:name="n38"/>
      <w:bookmarkEnd w:id="26"/>
      <w:r>
        <w:rPr>
          <w:rFonts w:ascii="Times New Roman" w:eastAsia="Times New Roman" w:hAnsi="Times New Roman" w:cs="Times New Roman"/>
          <w:sz w:val="24"/>
          <w:szCs w:val="24"/>
          <w:lang w:eastAsia="uk-UA"/>
        </w:rPr>
        <w:t>збільшити частку жінок серед народних депутатів України, депутатів обласних і місцевих рад (міст обласного значення);</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7" w:name="n39"/>
      <w:bookmarkEnd w:id="27"/>
      <w:r>
        <w:rPr>
          <w:rFonts w:ascii="Times New Roman" w:eastAsia="Times New Roman" w:hAnsi="Times New Roman" w:cs="Times New Roman"/>
          <w:sz w:val="24"/>
          <w:szCs w:val="24"/>
          <w:lang w:eastAsia="uk-UA"/>
        </w:rPr>
        <w:t>зменшити розрив в оплаті праці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8" w:name="n40"/>
      <w:bookmarkEnd w:id="28"/>
      <w:r>
        <w:rPr>
          <w:rFonts w:ascii="Times New Roman" w:eastAsia="Times New Roman" w:hAnsi="Times New Roman" w:cs="Times New Roman"/>
          <w:sz w:val="24"/>
          <w:szCs w:val="24"/>
          <w:lang w:eastAsia="uk-UA"/>
        </w:rPr>
        <w:t>внести зміни до нормативно-правових актів щодо удосконалення механізму проведення гендерно-правової експертизи;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29" w:name="n41"/>
      <w:bookmarkEnd w:id="29"/>
      <w:r>
        <w:rPr>
          <w:rFonts w:ascii="Times New Roman" w:eastAsia="Times New Roman" w:hAnsi="Times New Roman" w:cs="Times New Roman"/>
          <w:sz w:val="24"/>
          <w:szCs w:val="24"/>
          <w:lang w:eastAsia="uk-UA"/>
        </w:rPr>
        <w:t>створити комплексну систему реагування на випадки дискримінації за ознакою статі, дискримінації більше ніж за однією ознакою і запобігти такій дискримінації;</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0" w:name="n42"/>
      <w:bookmarkEnd w:id="30"/>
      <w:r>
        <w:rPr>
          <w:rFonts w:ascii="Times New Roman" w:eastAsia="Times New Roman" w:hAnsi="Times New Roman" w:cs="Times New Roman"/>
          <w:sz w:val="24"/>
          <w:szCs w:val="24"/>
          <w:lang w:eastAsia="uk-UA"/>
        </w:rPr>
        <w:lastRenderedPageBreak/>
        <w:t>внести на постійній основі до програм курсів підвищення кваліфікації державних службовців, посадових осіб органів місцевого самоврядування та працівників державних установ питань забезпечення рівних прав та можливостей жінок і чоловіків;</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1" w:name="n43"/>
      <w:bookmarkEnd w:id="31"/>
      <w:r>
        <w:rPr>
          <w:rFonts w:ascii="Times New Roman" w:eastAsia="Times New Roman" w:hAnsi="Times New Roman" w:cs="Times New Roman"/>
          <w:sz w:val="24"/>
          <w:szCs w:val="24"/>
          <w:lang w:eastAsia="uk-UA"/>
        </w:rPr>
        <w:t>розширити перелік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2" w:name="n44"/>
      <w:bookmarkEnd w:id="32"/>
      <w:r>
        <w:rPr>
          <w:rFonts w:ascii="Times New Roman" w:eastAsia="Times New Roman" w:hAnsi="Times New Roman" w:cs="Times New Roman"/>
          <w:sz w:val="24"/>
          <w:szCs w:val="24"/>
          <w:lang w:eastAsia="uk-UA"/>
        </w:rPr>
        <w:t>створити ефективну систему співпраці органів державної влади, міжнародних організацій і громадських об’єднань, діяльність яких спрямована на забезпечення рівних прав та можливостей жінок і чоловіків у суспільстві.</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3" w:name="n45"/>
      <w:bookmarkEnd w:id="33"/>
      <w:r>
        <w:rPr>
          <w:rFonts w:ascii="Times New Roman" w:eastAsia="Times New Roman" w:hAnsi="Times New Roman" w:cs="Times New Roman"/>
          <w:sz w:val="24"/>
          <w:szCs w:val="24"/>
          <w:lang w:eastAsia="uk-UA"/>
        </w:rPr>
        <w:t>Очікувані результати виконання Програми наведено в </w:t>
      </w:r>
      <w:hyperlink r:id="rId7" w:anchor="n64" w:history="1">
        <w:r>
          <w:rPr>
            <w:rStyle w:val="a3"/>
            <w:rFonts w:ascii="Times New Roman" w:eastAsia="Times New Roman" w:hAnsi="Times New Roman" w:cs="Times New Roman"/>
            <w:sz w:val="24"/>
            <w:szCs w:val="24"/>
            <w:lang w:eastAsia="uk-UA"/>
          </w:rPr>
          <w:t>додатку 3</w:t>
        </w:r>
      </w:hyperlink>
      <w:r>
        <w:rPr>
          <w:rFonts w:ascii="Times New Roman" w:eastAsia="Times New Roman" w:hAnsi="Times New Roman" w:cs="Times New Roman"/>
          <w:sz w:val="24"/>
          <w:szCs w:val="24"/>
          <w:lang w:eastAsia="uk-UA"/>
        </w:rPr>
        <w:t>.</w:t>
      </w:r>
    </w:p>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34" w:name="n46"/>
      <w:bookmarkEnd w:id="34"/>
      <w:r>
        <w:rPr>
          <w:rFonts w:ascii="Times New Roman" w:eastAsia="Times New Roman" w:hAnsi="Times New Roman" w:cs="Times New Roman"/>
          <w:b/>
          <w:bCs/>
          <w:color w:val="000000"/>
          <w:sz w:val="28"/>
          <w:szCs w:val="28"/>
          <w:lang w:eastAsia="uk-UA"/>
        </w:rPr>
        <w:t>Обсяги та джерела фінансування</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5" w:name="n47"/>
      <w:bookmarkEnd w:id="35"/>
      <w:r>
        <w:rPr>
          <w:rFonts w:ascii="Times New Roman" w:eastAsia="Times New Roman" w:hAnsi="Times New Roman" w:cs="Times New Roman"/>
          <w:sz w:val="24"/>
          <w:szCs w:val="24"/>
          <w:lang w:eastAsia="uk-UA"/>
        </w:rPr>
        <w:t>Фінансування Програми передбачається здійснювати за рахунок коштів державного бюджету, місцевих бюджетів та інших джерел, не заборонених законодавством.</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6" w:name="n48"/>
      <w:bookmarkEnd w:id="36"/>
      <w:r>
        <w:rPr>
          <w:rFonts w:ascii="Times New Roman" w:eastAsia="Times New Roman" w:hAnsi="Times New Roman" w:cs="Times New Roman"/>
          <w:sz w:val="24"/>
          <w:szCs w:val="24"/>
          <w:lang w:eastAsia="uk-UA"/>
        </w:rPr>
        <w:t>Обсяг видатків, необхідних для виконання Програми, визначається щороку під час складання проектів державного та місцевих бюджетів на відповідний рік з урахуванням їх реальних можливостей.</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7" w:name="n49"/>
      <w:bookmarkEnd w:id="37"/>
      <w:r>
        <w:rPr>
          <w:rFonts w:ascii="Times New Roman" w:eastAsia="Times New Roman" w:hAnsi="Times New Roman" w:cs="Times New Roman"/>
          <w:sz w:val="24"/>
          <w:szCs w:val="24"/>
          <w:lang w:eastAsia="uk-UA"/>
        </w:rPr>
        <w:t>Орієнтовний обсяг фінансування Програми з державного бюджету на 2018-2021 роки становить 255 тис. гривень на кожен рік.</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38" w:name="n50"/>
      <w:bookmarkEnd w:id="38"/>
      <w:r>
        <w:rPr>
          <w:rFonts w:ascii="Times New Roman" w:eastAsia="Times New Roman" w:hAnsi="Times New Roman" w:cs="Times New Roman"/>
          <w:sz w:val="24"/>
          <w:szCs w:val="24"/>
          <w:lang w:eastAsia="uk-UA"/>
        </w:rPr>
        <w:t>Орієнтовний обсяг видатків з місцевих бюджетів становить у 2018 році - 1492 тис. гривень, 2019 році - 1617 тис., 2020 році - 1737 тис., 2021 році - 1896 тис. гривень.</w:t>
      </w:r>
    </w:p>
    <w:p w:rsidR="003E3963" w:rsidRDefault="003E3963" w:rsidP="003E3963">
      <w:pPr>
        <w:spacing w:after="0" w:line="240" w:lineRule="auto"/>
        <w:jc w:val="center"/>
        <w:rPr>
          <w:rFonts w:ascii="Times New Roman" w:eastAsia="Times New Roman" w:hAnsi="Times New Roman" w:cs="Times New Roman"/>
          <w:sz w:val="24"/>
          <w:szCs w:val="24"/>
          <w:lang w:eastAsia="uk-UA"/>
        </w:rPr>
      </w:pPr>
      <w:bookmarkStart w:id="39" w:name="n68"/>
      <w:bookmarkEnd w:id="39"/>
      <w:r>
        <w:rPr>
          <w:rFonts w:ascii="Times New Roman" w:eastAsia="Times New Roman" w:hAnsi="Times New Roman" w:cs="Times New Roman"/>
          <w:sz w:val="24"/>
          <w:szCs w:val="24"/>
          <w:lang w:eastAsia="uk-UA"/>
        </w:rPr>
        <w:pict>
          <v:rect id="_x0000_i1025" style="width:467.75pt;height:.75pt" o:hralign="center" o:hrstd="t" o:hrnoshade="t" o:hr="t" fillcolor="black" stroked="f"/>
        </w:pict>
      </w:r>
    </w:p>
    <w:tbl>
      <w:tblPr>
        <w:tblW w:w="5000" w:type="pct"/>
        <w:tblCellMar>
          <w:left w:w="0" w:type="dxa"/>
          <w:right w:w="0" w:type="dxa"/>
        </w:tblCellMar>
        <w:tblLook w:val="04A0"/>
      </w:tblPr>
      <w:tblGrid>
        <w:gridCol w:w="4355"/>
        <w:gridCol w:w="5006"/>
      </w:tblGrid>
      <w:tr w:rsidR="003E3963" w:rsidTr="003E3963">
        <w:tc>
          <w:tcPr>
            <w:tcW w:w="2000" w:type="pct"/>
            <w:tcBorders>
              <w:top w:val="single" w:sz="2" w:space="0" w:color="auto"/>
              <w:left w:val="single" w:sz="2" w:space="0" w:color="auto"/>
              <w:bottom w:val="single" w:sz="2" w:space="0" w:color="auto"/>
              <w:right w:val="single" w:sz="2" w:space="0" w:color="auto"/>
            </w:tcBorders>
            <w:hideMark/>
          </w:tcPr>
          <w:p w:rsidR="003E3963" w:rsidRDefault="003E3963">
            <w:pPr>
              <w:rPr>
                <w:rFonts w:eastAsiaTheme="minorEastAsia" w:cs="Times New Roman"/>
                <w:lang w:val="ru-RU" w:eastAsia="ru-RU"/>
              </w:rPr>
            </w:pPr>
            <w:bookmarkStart w:id="40" w:name="n51"/>
            <w:bookmarkEnd w:id="40"/>
          </w:p>
        </w:tc>
        <w:tc>
          <w:tcPr>
            <w:tcW w:w="2300" w:type="pct"/>
            <w:tcBorders>
              <w:top w:val="single" w:sz="2" w:space="0" w:color="auto"/>
              <w:left w:val="single" w:sz="2" w:space="0" w:color="auto"/>
              <w:bottom w:val="single" w:sz="2" w:space="0" w:color="auto"/>
              <w:right w:val="single" w:sz="2" w:space="0" w:color="auto"/>
            </w:tcBorders>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1 </w:t>
            </w:r>
            <w:r>
              <w:rPr>
                <w:rFonts w:ascii="Times New Roman" w:eastAsia="Times New Roman" w:hAnsi="Times New Roman" w:cs="Times New Roman"/>
                <w:sz w:val="24"/>
                <w:szCs w:val="24"/>
                <w:lang w:eastAsia="uk-UA"/>
              </w:rPr>
              <w:br/>
              <w:t>до Програми</w:t>
            </w:r>
          </w:p>
        </w:tc>
      </w:tr>
    </w:tbl>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41" w:name="n52"/>
      <w:bookmarkEnd w:id="41"/>
      <w:r>
        <w:rPr>
          <w:rFonts w:ascii="Times New Roman" w:eastAsia="Times New Roman" w:hAnsi="Times New Roman" w:cs="Times New Roman"/>
          <w:b/>
          <w:bCs/>
          <w:color w:val="000000"/>
          <w:sz w:val="28"/>
          <w:szCs w:val="28"/>
          <w:lang w:eastAsia="uk-UA"/>
        </w:rPr>
        <w:t>ПАСПОРТ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szCs w:val="28"/>
          <w:lang w:eastAsia="uk-UA"/>
        </w:rPr>
        <w:t>Державної соціальної програми забезпечення рівних прав та можливостей жінок і чоловіків на період до 2021 року</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2" w:name="n53"/>
      <w:bookmarkEnd w:id="42"/>
      <w:r>
        <w:rPr>
          <w:rFonts w:ascii="Times New Roman" w:eastAsia="Times New Roman" w:hAnsi="Times New Roman" w:cs="Times New Roman"/>
          <w:sz w:val="24"/>
          <w:szCs w:val="24"/>
          <w:lang w:eastAsia="uk-UA"/>
        </w:rPr>
        <w:t>1. </w:t>
      </w:r>
      <w:hyperlink r:id="rId8" w:anchor="n9" w:tgtFrame="_blank" w:history="1">
        <w:r>
          <w:rPr>
            <w:rStyle w:val="a3"/>
            <w:rFonts w:ascii="Times New Roman" w:eastAsia="Times New Roman" w:hAnsi="Times New Roman" w:cs="Times New Roman"/>
            <w:sz w:val="24"/>
            <w:szCs w:val="24"/>
            <w:lang w:eastAsia="uk-UA"/>
          </w:rPr>
          <w:t>Концепція Програми</w:t>
        </w:r>
      </w:hyperlink>
      <w:r>
        <w:rPr>
          <w:rFonts w:ascii="Times New Roman" w:eastAsia="Times New Roman" w:hAnsi="Times New Roman" w:cs="Times New Roman"/>
          <w:sz w:val="24"/>
          <w:szCs w:val="24"/>
          <w:lang w:eastAsia="uk-UA"/>
        </w:rPr>
        <w:t> схвалена розпорядженням Кабінету Міністрів України від 5 квітня 2017 р. № 229 (Офіційний вісник України, 2017 р., № 31, ст. 951).</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3" w:name="n54"/>
      <w:bookmarkEnd w:id="43"/>
      <w:r>
        <w:rPr>
          <w:rFonts w:ascii="Times New Roman" w:eastAsia="Times New Roman" w:hAnsi="Times New Roman" w:cs="Times New Roman"/>
          <w:sz w:val="24"/>
          <w:szCs w:val="24"/>
          <w:lang w:eastAsia="uk-UA"/>
        </w:rPr>
        <w:t>2. </w:t>
      </w:r>
      <w:hyperlink r:id="rId9" w:anchor="n12" w:history="1">
        <w:r>
          <w:rPr>
            <w:rStyle w:val="a3"/>
            <w:rFonts w:ascii="Times New Roman" w:eastAsia="Times New Roman" w:hAnsi="Times New Roman" w:cs="Times New Roman"/>
            <w:sz w:val="24"/>
            <w:szCs w:val="24"/>
            <w:lang w:eastAsia="uk-UA"/>
          </w:rPr>
          <w:t>Програма</w:t>
        </w:r>
      </w:hyperlink>
      <w:r>
        <w:rPr>
          <w:rFonts w:ascii="Times New Roman" w:eastAsia="Times New Roman" w:hAnsi="Times New Roman" w:cs="Times New Roman"/>
          <w:sz w:val="24"/>
          <w:szCs w:val="24"/>
          <w:lang w:eastAsia="uk-UA"/>
        </w:rPr>
        <w:t> затверджена постановою Кабінету Міністрів України від 11 квітня 2018 р. № 273.</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4" w:name="n55"/>
      <w:bookmarkEnd w:id="44"/>
      <w:r>
        <w:rPr>
          <w:rFonts w:ascii="Times New Roman" w:eastAsia="Times New Roman" w:hAnsi="Times New Roman" w:cs="Times New Roman"/>
          <w:sz w:val="24"/>
          <w:szCs w:val="24"/>
          <w:lang w:eastAsia="uk-UA"/>
        </w:rPr>
        <w:t>3. Державний замовник і координатор Програми - Мінсоцполітики.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5" w:name="n56"/>
      <w:bookmarkEnd w:id="45"/>
      <w:r>
        <w:rPr>
          <w:rFonts w:ascii="Times New Roman" w:eastAsia="Times New Roman" w:hAnsi="Times New Roman" w:cs="Times New Roman"/>
          <w:sz w:val="24"/>
          <w:szCs w:val="24"/>
          <w:lang w:eastAsia="uk-UA"/>
        </w:rPr>
        <w:t>4. Керівник Програми - Міністр соціальної політики.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6" w:name="n57"/>
      <w:bookmarkEnd w:id="46"/>
      <w:r>
        <w:rPr>
          <w:rFonts w:ascii="Times New Roman" w:eastAsia="Times New Roman" w:hAnsi="Times New Roman" w:cs="Times New Roman"/>
          <w:sz w:val="24"/>
          <w:szCs w:val="24"/>
          <w:lang w:eastAsia="uk-UA"/>
        </w:rPr>
        <w:t>5. Виконавці заходів Програми - Мінсоцполітики, Мін’юст, МВС, Міноборони, МЗС, Мінекономрозвитку, Мінрегіон, Мінагрополітики, МІП, МТОТ, Мінкультури, МОЗ, МОН, Мінмолодьспорт, Держкомтелерадіо, Держстат, НАДС, Рада міністрів Автономної Республіки Крим, обласні, Київська та Севастопольська міські держадміністрації, а також за згодою - органи місцевого самоврядування, ДСА, Федерація профспілок України, Федерація роботодавців України, міжнародні організації та громадські об’єднання, Національна академія наук, Національна академія державного управління при Президентові України, Національна академія прокуратури України, Вища школа адвокатури Національної асоціації адвокатів України.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7" w:name="n58"/>
      <w:bookmarkEnd w:id="47"/>
      <w:r>
        <w:rPr>
          <w:rFonts w:ascii="Times New Roman" w:eastAsia="Times New Roman" w:hAnsi="Times New Roman" w:cs="Times New Roman"/>
          <w:sz w:val="24"/>
          <w:szCs w:val="24"/>
          <w:lang w:eastAsia="uk-UA"/>
        </w:rPr>
        <w:t>6. Строк виконання Програми: 2018-2021 роки.</w:t>
      </w:r>
    </w:p>
    <w:p w:rsidR="003E3963" w:rsidRDefault="003E3963" w:rsidP="003E3963">
      <w:pPr>
        <w:spacing w:after="150" w:line="240" w:lineRule="auto"/>
        <w:ind w:firstLine="450"/>
        <w:jc w:val="both"/>
        <w:rPr>
          <w:rFonts w:ascii="Times New Roman" w:eastAsia="Times New Roman" w:hAnsi="Times New Roman" w:cs="Times New Roman"/>
          <w:sz w:val="24"/>
          <w:szCs w:val="24"/>
          <w:lang w:eastAsia="uk-UA"/>
        </w:rPr>
      </w:pPr>
      <w:bookmarkStart w:id="48" w:name="n59"/>
      <w:bookmarkEnd w:id="48"/>
      <w:r>
        <w:rPr>
          <w:rFonts w:ascii="Times New Roman" w:eastAsia="Times New Roman" w:hAnsi="Times New Roman" w:cs="Times New Roman"/>
          <w:sz w:val="24"/>
          <w:szCs w:val="24"/>
          <w:lang w:eastAsia="uk-UA"/>
        </w:rPr>
        <w:lastRenderedPageBreak/>
        <w:t>7. Прогнозні обсяги та джерела фінансування</w:t>
      </w:r>
    </w:p>
    <w:tbl>
      <w:tblPr>
        <w:tblW w:w="5000" w:type="pct"/>
        <w:tblBorders>
          <w:top w:val="outset" w:sz="2" w:space="0" w:color="auto"/>
          <w:left w:val="outset" w:sz="2" w:space="0" w:color="auto"/>
          <w:bottom w:val="outset" w:sz="2" w:space="0" w:color="auto"/>
          <w:right w:val="outset" w:sz="2" w:space="0" w:color="auto"/>
        </w:tblBorders>
        <w:tblLook w:val="04A0"/>
      </w:tblPr>
      <w:tblGrid>
        <w:gridCol w:w="12"/>
        <w:gridCol w:w="1468"/>
        <w:gridCol w:w="1723"/>
        <w:gridCol w:w="559"/>
        <w:gridCol w:w="426"/>
        <w:gridCol w:w="1186"/>
        <w:gridCol w:w="2703"/>
        <w:gridCol w:w="1308"/>
      </w:tblGrid>
      <w:tr w:rsidR="003E3963" w:rsidTr="003E3963">
        <w:tc>
          <w:tcPr>
            <w:tcW w:w="1725" w:type="dxa"/>
            <w:gridSpan w:val="2"/>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bookmarkStart w:id="49" w:name="n60"/>
            <w:bookmarkEnd w:id="49"/>
            <w:r>
              <w:rPr>
                <w:rFonts w:ascii="Times New Roman" w:eastAsia="Times New Roman" w:hAnsi="Times New Roman" w:cs="Times New Roman"/>
                <w:sz w:val="24"/>
                <w:szCs w:val="24"/>
                <w:lang w:eastAsia="uk-UA"/>
              </w:rPr>
              <w:t>Джерела фінансування</w:t>
            </w:r>
          </w:p>
        </w:tc>
        <w:tc>
          <w:tcPr>
            <w:tcW w:w="20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Обсяги фінансування, тис. гривень</w:t>
            </w:r>
          </w:p>
        </w:tc>
        <w:tc>
          <w:tcPr>
            <w:tcW w:w="5685" w:type="dxa"/>
            <w:gridSpan w:val="5"/>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тому числі за роками</w:t>
            </w:r>
          </w:p>
        </w:tc>
      </w:tr>
      <w:tr w:rsidR="003E3963" w:rsidTr="003E3963">
        <w:tc>
          <w:tcPr>
            <w:tcW w:w="0" w:type="auto"/>
            <w:gridSpan w:val="2"/>
            <w:vMerge/>
            <w:tcBorders>
              <w:top w:val="single" w:sz="6" w:space="0" w:color="000000"/>
              <w:left w:val="nil"/>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w:t>
            </w:r>
          </w:p>
        </w:tc>
        <w:tc>
          <w:tcPr>
            <w:tcW w:w="130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r>
      <w:tr w:rsidR="003E3963" w:rsidTr="003E3963">
        <w:tc>
          <w:tcPr>
            <w:tcW w:w="1725" w:type="dxa"/>
            <w:gridSpan w:val="2"/>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Державний бюджет</w:t>
            </w:r>
          </w:p>
        </w:tc>
        <w:tc>
          <w:tcPr>
            <w:tcW w:w="201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1020</w:t>
            </w:r>
          </w:p>
        </w:tc>
        <w:tc>
          <w:tcPr>
            <w:tcW w:w="1305" w:type="dxa"/>
            <w:gridSpan w:val="2"/>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129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144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1305"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r>
      <w:tr w:rsidR="003E3963" w:rsidTr="003E3963">
        <w:tc>
          <w:tcPr>
            <w:tcW w:w="172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Місцевий бюджет</w:t>
            </w:r>
          </w:p>
        </w:tc>
        <w:tc>
          <w:tcPr>
            <w:tcW w:w="201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6742</w:t>
            </w:r>
          </w:p>
        </w:tc>
        <w:tc>
          <w:tcPr>
            <w:tcW w:w="130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1492</w:t>
            </w:r>
          </w:p>
        </w:tc>
        <w:tc>
          <w:tcPr>
            <w:tcW w:w="129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1617</w:t>
            </w:r>
          </w:p>
        </w:tc>
        <w:tc>
          <w:tcPr>
            <w:tcW w:w="14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1737</w:t>
            </w:r>
          </w:p>
        </w:tc>
        <w:tc>
          <w:tcPr>
            <w:tcW w:w="130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1896</w:t>
            </w:r>
          </w:p>
        </w:tc>
      </w:tr>
      <w:tr w:rsidR="003E3963" w:rsidTr="003E3963">
        <w:tc>
          <w:tcPr>
            <w:tcW w:w="172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Інші джерела</w:t>
            </w:r>
          </w:p>
        </w:tc>
        <w:tc>
          <w:tcPr>
            <w:tcW w:w="201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5378</w:t>
            </w:r>
          </w:p>
        </w:tc>
        <w:tc>
          <w:tcPr>
            <w:tcW w:w="130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1463</w:t>
            </w:r>
          </w:p>
        </w:tc>
        <w:tc>
          <w:tcPr>
            <w:tcW w:w="129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1305</w:t>
            </w:r>
          </w:p>
        </w:tc>
        <w:tc>
          <w:tcPr>
            <w:tcW w:w="14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1330</w:t>
            </w:r>
          </w:p>
        </w:tc>
        <w:tc>
          <w:tcPr>
            <w:tcW w:w="130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1280</w:t>
            </w:r>
          </w:p>
        </w:tc>
      </w:tr>
      <w:tr w:rsidR="003E3963" w:rsidTr="003E3963">
        <w:tc>
          <w:tcPr>
            <w:tcW w:w="172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 </w:t>
            </w:r>
            <w:r>
              <w:rPr>
                <w:rFonts w:ascii="Times New Roman" w:eastAsia="Times New Roman" w:hAnsi="Times New Roman" w:cs="Times New Roman"/>
                <w:sz w:val="24"/>
                <w:szCs w:val="24"/>
                <w:lang w:eastAsia="uk-UA"/>
              </w:rPr>
              <w:br/>
              <w:t>Усього</w:t>
            </w:r>
          </w:p>
        </w:tc>
        <w:tc>
          <w:tcPr>
            <w:tcW w:w="201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13140</w:t>
            </w:r>
          </w:p>
        </w:tc>
        <w:tc>
          <w:tcPr>
            <w:tcW w:w="1305" w:type="dxa"/>
            <w:gridSpan w:val="2"/>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3210</w:t>
            </w:r>
          </w:p>
        </w:tc>
        <w:tc>
          <w:tcPr>
            <w:tcW w:w="129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3177</w:t>
            </w:r>
          </w:p>
        </w:tc>
        <w:tc>
          <w:tcPr>
            <w:tcW w:w="14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3322</w:t>
            </w:r>
          </w:p>
        </w:tc>
        <w:tc>
          <w:tcPr>
            <w:tcW w:w="130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3431</w:t>
            </w:r>
          </w:p>
        </w:tc>
      </w:tr>
      <w:tr w:rsidR="003E3963" w:rsidTr="003E3963">
        <w:trPr>
          <w:gridBefore w:val="1"/>
          <w:gridAfter w:val="1"/>
          <w:wBefore w:w="12" w:type="dxa"/>
          <w:wAfter w:w="12" w:type="dxa"/>
        </w:trPr>
        <w:tc>
          <w:tcPr>
            <w:tcW w:w="2000" w:type="pct"/>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E3963" w:rsidRDefault="003E3963">
            <w:pPr>
              <w:spacing w:after="0"/>
              <w:rPr>
                <w:rFonts w:eastAsiaTheme="minorEastAsia" w:cs="Times New Roman"/>
                <w:lang w:val="ru-RU" w:eastAsia="ru-RU"/>
              </w:rPr>
            </w:pPr>
            <w:bookmarkStart w:id="50" w:name="n61"/>
            <w:bookmarkStart w:id="51" w:name="n69"/>
            <w:bookmarkEnd w:id="50"/>
            <w:bookmarkEnd w:id="51"/>
          </w:p>
        </w:tc>
        <w:tc>
          <w:tcPr>
            <w:tcW w:w="2300" w:type="pct"/>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2 </w:t>
            </w:r>
            <w:r>
              <w:rPr>
                <w:rFonts w:ascii="Times New Roman" w:eastAsia="Times New Roman" w:hAnsi="Times New Roman" w:cs="Times New Roman"/>
                <w:sz w:val="24"/>
                <w:szCs w:val="24"/>
                <w:lang w:eastAsia="uk-UA"/>
              </w:rPr>
              <w:br/>
              <w:t>до Програми</w:t>
            </w:r>
          </w:p>
        </w:tc>
      </w:tr>
    </w:tbl>
    <w:bookmarkStart w:id="52" w:name="n62"/>
    <w:bookmarkEnd w:id="52"/>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fldChar w:fldCharType="begin"/>
      </w:r>
      <w:r>
        <w:rPr>
          <w:rFonts w:ascii="Times New Roman" w:eastAsia="Times New Roman" w:hAnsi="Times New Roman" w:cs="Times New Roman"/>
          <w:sz w:val="24"/>
          <w:szCs w:val="24"/>
          <w:lang w:eastAsia="uk-UA"/>
        </w:rPr>
        <w:instrText xml:space="preserve"> HYPERLINK "http://zakon.rada.gov.ua/laws/file/text/62/f474388n71.doc" </w:instrText>
      </w:r>
      <w:r>
        <w:rPr>
          <w:rFonts w:ascii="Times New Roman" w:eastAsia="Times New Roman" w:hAnsi="Times New Roman" w:cs="Times New Roman"/>
          <w:sz w:val="24"/>
          <w:szCs w:val="24"/>
          <w:lang w:eastAsia="uk-UA"/>
        </w:rPr>
        <w:fldChar w:fldCharType="separate"/>
      </w:r>
      <w:r>
        <w:rPr>
          <w:rStyle w:val="a3"/>
          <w:rFonts w:ascii="Times New Roman" w:eastAsia="Times New Roman" w:hAnsi="Times New Roman" w:cs="Times New Roman"/>
          <w:b/>
          <w:bCs/>
          <w:sz w:val="28"/>
          <w:szCs w:val="28"/>
          <w:lang w:eastAsia="uk-UA"/>
        </w:rPr>
        <w:t>ЗАВДАННЯ І ЗАХОДИ</w:t>
      </w:r>
      <w:r>
        <w:rPr>
          <w:rFonts w:ascii="Times New Roman" w:eastAsia="Times New Roman" w:hAnsi="Times New Roman" w:cs="Times New Roman"/>
          <w:sz w:val="24"/>
          <w:szCs w:val="24"/>
          <w:lang w:eastAsia="uk-UA"/>
        </w:rPr>
        <w:fldChar w:fldCharType="end"/>
      </w:r>
      <w:r>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szCs w:val="28"/>
          <w:lang w:eastAsia="uk-UA"/>
        </w:rPr>
        <w:t>з виконання </w:t>
      </w:r>
      <w:hyperlink r:id="rId10" w:anchor="n12" w:history="1">
        <w:r>
          <w:rPr>
            <w:rStyle w:val="a3"/>
            <w:rFonts w:ascii="Times New Roman" w:eastAsia="Times New Roman" w:hAnsi="Times New Roman" w:cs="Times New Roman"/>
            <w:b/>
            <w:bCs/>
            <w:sz w:val="28"/>
            <w:szCs w:val="28"/>
            <w:lang w:eastAsia="uk-UA"/>
          </w:rPr>
          <w:t>Державної соціальної програми забезпечення рівних прав та можливостей жінок і чоловіків на період до 2021 року</w:t>
        </w:r>
      </w:hyperlink>
    </w:p>
    <w:p w:rsidR="003E3963" w:rsidRDefault="003E3963" w:rsidP="003E3963">
      <w:pPr>
        <w:spacing w:after="0" w:line="240" w:lineRule="auto"/>
        <w:jc w:val="center"/>
        <w:rPr>
          <w:rFonts w:ascii="Times New Roman" w:eastAsia="Times New Roman" w:hAnsi="Times New Roman" w:cs="Times New Roman"/>
          <w:sz w:val="24"/>
          <w:szCs w:val="24"/>
          <w:lang w:eastAsia="uk-UA"/>
        </w:rPr>
      </w:pPr>
      <w:bookmarkStart w:id="53" w:name="n70"/>
      <w:bookmarkEnd w:id="53"/>
      <w:r>
        <w:rPr>
          <w:rFonts w:ascii="Times New Roman" w:eastAsia="Times New Roman" w:hAnsi="Times New Roman" w:cs="Times New Roman"/>
          <w:sz w:val="24"/>
          <w:szCs w:val="24"/>
          <w:lang w:eastAsia="uk-UA"/>
        </w:rPr>
        <w:pict>
          <v:rect id="_x0000_i1026" style="width:467.75pt;height:.75pt" o:hralign="center" o:hrstd="t" o:hrnoshade="t" o:hr="t" fillcolor="black" stroked="f"/>
        </w:pict>
      </w:r>
    </w:p>
    <w:tbl>
      <w:tblPr>
        <w:tblW w:w="5000" w:type="pct"/>
        <w:tblCellMar>
          <w:left w:w="0" w:type="dxa"/>
          <w:right w:w="0" w:type="dxa"/>
        </w:tblCellMar>
        <w:tblLook w:val="04A0"/>
      </w:tblPr>
      <w:tblGrid>
        <w:gridCol w:w="4355"/>
        <w:gridCol w:w="5006"/>
      </w:tblGrid>
      <w:tr w:rsidR="003E3963" w:rsidTr="003E3963">
        <w:tc>
          <w:tcPr>
            <w:tcW w:w="2000" w:type="pct"/>
            <w:tcBorders>
              <w:top w:val="single" w:sz="2" w:space="0" w:color="auto"/>
              <w:left w:val="single" w:sz="2" w:space="0" w:color="auto"/>
              <w:bottom w:val="single" w:sz="2" w:space="0" w:color="auto"/>
              <w:right w:val="single" w:sz="2" w:space="0" w:color="auto"/>
            </w:tcBorders>
            <w:hideMark/>
          </w:tcPr>
          <w:p w:rsidR="003E3963" w:rsidRDefault="003E3963">
            <w:pPr>
              <w:rPr>
                <w:rFonts w:eastAsiaTheme="minorEastAsia" w:cs="Times New Roman"/>
                <w:lang w:val="ru-RU" w:eastAsia="ru-RU"/>
              </w:rPr>
            </w:pPr>
            <w:bookmarkStart w:id="54" w:name="n63"/>
            <w:bookmarkEnd w:id="54"/>
          </w:p>
        </w:tc>
        <w:tc>
          <w:tcPr>
            <w:tcW w:w="2300" w:type="pct"/>
            <w:tcBorders>
              <w:top w:val="single" w:sz="2" w:space="0" w:color="auto"/>
              <w:left w:val="single" w:sz="2" w:space="0" w:color="auto"/>
              <w:bottom w:val="single" w:sz="2" w:space="0" w:color="auto"/>
              <w:right w:val="single" w:sz="2" w:space="0" w:color="auto"/>
            </w:tcBorders>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3 </w:t>
            </w:r>
            <w:r>
              <w:rPr>
                <w:rFonts w:ascii="Times New Roman" w:eastAsia="Times New Roman" w:hAnsi="Times New Roman" w:cs="Times New Roman"/>
                <w:sz w:val="24"/>
                <w:szCs w:val="24"/>
                <w:lang w:eastAsia="uk-UA"/>
              </w:rPr>
              <w:br/>
              <w:t>до Програми</w:t>
            </w:r>
          </w:p>
        </w:tc>
      </w:tr>
    </w:tbl>
    <w:p w:rsidR="003E3963" w:rsidRDefault="003E3963" w:rsidP="003E3963">
      <w:pPr>
        <w:spacing w:before="150" w:after="150" w:line="240" w:lineRule="auto"/>
        <w:ind w:left="450" w:right="450"/>
        <w:jc w:val="center"/>
        <w:rPr>
          <w:rFonts w:ascii="Times New Roman" w:eastAsia="Times New Roman" w:hAnsi="Times New Roman" w:cs="Times New Roman"/>
          <w:sz w:val="24"/>
          <w:szCs w:val="24"/>
          <w:lang w:eastAsia="uk-UA"/>
        </w:rPr>
      </w:pPr>
      <w:bookmarkStart w:id="55" w:name="n64"/>
      <w:bookmarkEnd w:id="55"/>
      <w:r>
        <w:rPr>
          <w:rFonts w:ascii="Times New Roman" w:eastAsia="Times New Roman" w:hAnsi="Times New Roman" w:cs="Times New Roman"/>
          <w:b/>
          <w:bCs/>
          <w:color w:val="000000"/>
          <w:sz w:val="28"/>
          <w:szCs w:val="28"/>
          <w:lang w:eastAsia="uk-UA"/>
        </w:rPr>
        <w:t>ОЧІКУВАНІ РЕЗУЛЬТАТИ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szCs w:val="28"/>
          <w:lang w:eastAsia="uk-UA"/>
        </w:rPr>
        <w:t>виконання </w:t>
      </w:r>
      <w:hyperlink r:id="rId11" w:anchor="n12" w:history="1">
        <w:r>
          <w:rPr>
            <w:rStyle w:val="a3"/>
            <w:rFonts w:ascii="Times New Roman" w:eastAsia="Times New Roman" w:hAnsi="Times New Roman" w:cs="Times New Roman"/>
            <w:b/>
            <w:bCs/>
            <w:sz w:val="28"/>
            <w:szCs w:val="28"/>
            <w:lang w:eastAsia="uk-UA"/>
          </w:rPr>
          <w:t>Державної соціальної програми забезпечення рівних прав та можливостей жінок і чоловіків на період до 2021 року</w:t>
        </w:r>
      </w:hyperlink>
    </w:p>
    <w:tbl>
      <w:tblPr>
        <w:tblW w:w="5000" w:type="pct"/>
        <w:tblBorders>
          <w:top w:val="outset" w:sz="2" w:space="0" w:color="auto"/>
          <w:left w:val="outset" w:sz="2" w:space="0" w:color="auto"/>
          <w:bottom w:val="outset" w:sz="2" w:space="0" w:color="auto"/>
          <w:right w:val="outset" w:sz="2" w:space="0" w:color="auto"/>
        </w:tblBorders>
        <w:tblLook w:val="04A0"/>
      </w:tblPr>
      <w:tblGrid>
        <w:gridCol w:w="2594"/>
        <w:gridCol w:w="2470"/>
        <w:gridCol w:w="1134"/>
        <w:gridCol w:w="812"/>
        <w:gridCol w:w="617"/>
        <w:gridCol w:w="523"/>
        <w:gridCol w:w="537"/>
        <w:gridCol w:w="698"/>
      </w:tblGrid>
      <w:tr w:rsidR="003E3963" w:rsidTr="003E3963">
        <w:trPr>
          <w:trHeight w:val="15"/>
        </w:trPr>
        <w:tc>
          <w:tcPr>
            <w:tcW w:w="2700" w:type="dxa"/>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bookmarkStart w:id="56" w:name="n73"/>
            <w:bookmarkEnd w:id="56"/>
            <w:r>
              <w:rPr>
                <w:rFonts w:ascii="Times New Roman" w:eastAsia="Times New Roman" w:hAnsi="Times New Roman" w:cs="Times New Roman"/>
                <w:sz w:val="24"/>
                <w:szCs w:val="24"/>
                <w:lang w:eastAsia="uk-UA"/>
              </w:rPr>
              <w:t>Найменування завдання</w:t>
            </w:r>
          </w:p>
        </w:tc>
        <w:tc>
          <w:tcPr>
            <w:tcW w:w="255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Найменування показників виконання завдання</w:t>
            </w:r>
          </w:p>
        </w:tc>
        <w:tc>
          <w:tcPr>
            <w:tcW w:w="11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Одиниця виміру</w:t>
            </w:r>
          </w:p>
        </w:tc>
        <w:tc>
          <w:tcPr>
            <w:tcW w:w="3240" w:type="dxa"/>
            <w:gridSpan w:val="5"/>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Значення показників</w:t>
            </w:r>
          </w:p>
        </w:tc>
      </w:tr>
      <w:tr w:rsidR="003E3963" w:rsidTr="003E3963">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8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усього</w:t>
            </w:r>
          </w:p>
        </w:tc>
        <w:tc>
          <w:tcPr>
            <w:tcW w:w="2400" w:type="dxa"/>
            <w:gridSpan w:val="4"/>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тому числі за роками</w:t>
            </w:r>
          </w:p>
        </w:tc>
      </w:tr>
      <w:tr w:rsidR="003E3963" w:rsidTr="003E3963">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6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c>
          <w:tcPr>
            <w:tcW w:w="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w:t>
            </w:r>
          </w:p>
        </w:tc>
        <w:tc>
          <w:tcPr>
            <w:tcW w:w="66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r>
      <w:tr w:rsidR="003E3963" w:rsidTr="003E3963">
        <w:trPr>
          <w:trHeight w:val="15"/>
        </w:trPr>
        <w:tc>
          <w:tcPr>
            <w:tcW w:w="270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Удосконалення нормативно-правової бази з питань забезпечення рівних прав та можливостей жінок і чоловіків у всіх сферах життєдіяльності суспільства</w:t>
            </w:r>
          </w:p>
        </w:tc>
        <w:tc>
          <w:tcPr>
            <w:tcW w:w="255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удосконалених нормативно-правових актів</w:t>
            </w:r>
          </w:p>
        </w:tc>
        <w:tc>
          <w:tcPr>
            <w:tcW w:w="1155"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одиниць</w:t>
            </w:r>
          </w:p>
        </w:tc>
        <w:tc>
          <w:tcPr>
            <w:tcW w:w="825"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63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525"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54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660" w:type="dxa"/>
            <w:tcBorders>
              <w:top w:val="single" w:sz="6" w:space="0" w:color="000000"/>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3E3963" w:rsidTr="003E3963">
        <w:trPr>
          <w:trHeight w:val="15"/>
        </w:trPr>
        <w:tc>
          <w:tcPr>
            <w:tcW w:w="270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Урахування </w:t>
            </w:r>
            <w:r>
              <w:rPr>
                <w:rFonts w:ascii="Times New Roman" w:eastAsia="Times New Roman" w:hAnsi="Times New Roman" w:cs="Times New Roman"/>
                <w:sz w:val="24"/>
                <w:szCs w:val="24"/>
                <w:lang w:eastAsia="uk-UA"/>
              </w:rPr>
              <w:lastRenderedPageBreak/>
              <w:t>гендерного компонента у програмах економічного і соціального розвитку з урахуванням актуальних потреб галузей і регіонів</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частка програм </w:t>
            </w:r>
            <w:r>
              <w:rPr>
                <w:rFonts w:ascii="Times New Roman" w:eastAsia="Times New Roman" w:hAnsi="Times New Roman" w:cs="Times New Roman"/>
                <w:sz w:val="24"/>
                <w:szCs w:val="24"/>
                <w:lang w:eastAsia="uk-UA"/>
              </w:rPr>
              <w:lastRenderedPageBreak/>
              <w:t>економічного і соціального розвитку, в яких враховано гендерний компонент</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відсотків</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3E3963" w:rsidTr="003E3963">
        <w:trPr>
          <w:trHeight w:val="15"/>
        </w:trPr>
        <w:tc>
          <w:tcPr>
            <w:tcW w:w="2700" w:type="dxa"/>
            <w:vMerge w:val="restart"/>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 Удосконалення механізму проведення гендерно-правової експертизи</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прийнятих нормативно-правових актів</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одиниць</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r>
      <w:tr w:rsidR="003E3963" w:rsidTr="003E3963">
        <w:trPr>
          <w:trHeight w:val="15"/>
        </w:trPr>
        <w:tc>
          <w:tcPr>
            <w:tcW w:w="0" w:type="auto"/>
            <w:vMerge/>
            <w:tcBorders>
              <w:top w:val="nil"/>
              <w:left w:val="nil"/>
              <w:bottom w:val="nil"/>
              <w:right w:val="nil"/>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спеціально підготовлених осіб, відповідальних за проведення гендерно-правової експертизи під час розроблення нормативно-правових актів міністерств, інших органів виконавчої влади, актів органів місцевого самоврядування</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осіб</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3E3963" w:rsidTr="003E3963">
        <w:trPr>
          <w:trHeight w:val="15"/>
        </w:trPr>
        <w:tc>
          <w:tcPr>
            <w:tcW w:w="270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форм звітності, в які введено показники з розподілом за статтю</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одиниць</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3E3963" w:rsidTr="003E3963">
        <w:trPr>
          <w:trHeight w:val="15"/>
        </w:trPr>
        <w:tc>
          <w:tcPr>
            <w:tcW w:w="270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Внесення до програм курсів підвищення кваліфікації державних службовців і посадових осіб органів місцевого самоврядування питань забезпечення рівних прав та можливостей жінок і чоловіків</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затверджених типових модулів з питань забезпечення рівних прав та можливостей жінок і чоловіків</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3E3963" w:rsidTr="003E3963">
        <w:trPr>
          <w:trHeight w:val="15"/>
        </w:trPr>
        <w:tc>
          <w:tcPr>
            <w:tcW w:w="270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Удосконалення механізму реалізації захисту від дискримінації за ознакою статі (дискримінації за </w:t>
            </w:r>
            <w:r>
              <w:rPr>
                <w:rFonts w:ascii="Times New Roman" w:eastAsia="Times New Roman" w:hAnsi="Times New Roman" w:cs="Times New Roman"/>
                <w:sz w:val="24"/>
                <w:szCs w:val="24"/>
                <w:lang w:eastAsia="uk-UA"/>
              </w:rPr>
              <w:lastRenderedPageBreak/>
              <w:t>кількома ознаками)</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кількість комплексних консультаційних послуг, наданих постраждалим від дискримінації за ознакою статі</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6000</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1000</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1500</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1700</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1800</w:t>
            </w:r>
          </w:p>
        </w:tc>
      </w:tr>
      <w:tr w:rsidR="003E3963" w:rsidTr="003E3963">
        <w:trPr>
          <w:trHeight w:val="15"/>
        </w:trPr>
        <w:tc>
          <w:tcPr>
            <w:tcW w:w="270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 Подолання гендерних стереотипів</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вжитих заходів, спрямованих на подолання гендерних стереотипів</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2015</w:t>
            </w: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663</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662</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663</w:t>
            </w:r>
          </w:p>
        </w:tc>
      </w:tr>
      <w:tr w:rsidR="003E3963" w:rsidTr="003E3963">
        <w:trPr>
          <w:trHeight w:val="975"/>
        </w:trPr>
        <w:tc>
          <w:tcPr>
            <w:tcW w:w="2700" w:type="dxa"/>
            <w:vMerge w:val="restart"/>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Збільшення частки жінок серед народних депутатів України, депутатів обласних та місцевих рад (міст обласного значення)</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частка жінок серед народних депутатів України</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відсотків</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3E3963" w:rsidTr="003E3963">
        <w:trPr>
          <w:trHeight w:val="1140"/>
        </w:trPr>
        <w:tc>
          <w:tcPr>
            <w:tcW w:w="0" w:type="auto"/>
            <w:vMerge/>
            <w:tcBorders>
              <w:top w:val="nil"/>
              <w:left w:val="nil"/>
              <w:bottom w:val="nil"/>
              <w:right w:val="nil"/>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частка жінок серед депутатів обласних, районних і міських рад</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r>
      <w:tr w:rsidR="003E3963" w:rsidTr="003E3963">
        <w:trPr>
          <w:trHeight w:val="15"/>
        </w:trPr>
        <w:tc>
          <w:tcPr>
            <w:tcW w:w="0" w:type="auto"/>
            <w:vMerge/>
            <w:tcBorders>
              <w:top w:val="nil"/>
              <w:left w:val="nil"/>
              <w:bottom w:val="nil"/>
              <w:right w:val="nil"/>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частка жінок серед посад вищого корпусу державної служби (посади </w:t>
            </w:r>
            <w:hyperlink r:id="rId12" w:anchor="n80" w:tgtFrame="_blank" w:history="1">
              <w:r>
                <w:rPr>
                  <w:rStyle w:val="a3"/>
                  <w:rFonts w:ascii="Times New Roman" w:eastAsia="Times New Roman" w:hAnsi="Times New Roman" w:cs="Times New Roman"/>
                  <w:sz w:val="24"/>
                  <w:szCs w:val="24"/>
                  <w:lang w:eastAsia="uk-UA"/>
                </w:rPr>
                <w:t>категорії “А”</w:t>
              </w:r>
            </w:hyperlink>
            <w:r>
              <w:rPr>
                <w:rFonts w:ascii="Times New Roman" w:eastAsia="Times New Roman" w:hAnsi="Times New Roman" w:cs="Times New Roman"/>
                <w:sz w:val="24"/>
                <w:szCs w:val="24"/>
                <w:lang w:eastAsia="uk-UA"/>
              </w:rPr>
              <w:t>)</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r>
      <w:tr w:rsidR="003E3963" w:rsidTr="003E3963">
        <w:trPr>
          <w:trHeight w:val="15"/>
        </w:trPr>
        <w:tc>
          <w:tcPr>
            <w:tcW w:w="2700" w:type="dxa"/>
            <w:vMerge w:val="restart"/>
            <w:tcBorders>
              <w:top w:val="nil"/>
              <w:left w:val="nil"/>
              <w:bottom w:val="nil"/>
              <w:right w:val="nil"/>
            </w:tcBorders>
            <w:tcMar>
              <w:top w:w="15" w:type="dxa"/>
              <w:left w:w="15" w:type="dxa"/>
              <w:bottom w:w="15" w:type="dxa"/>
              <w:right w:w="15" w:type="dxa"/>
            </w:tcMar>
            <w:hideMark/>
          </w:tcPr>
          <w:p w:rsidR="003E3963" w:rsidRDefault="003E396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Зменшення розриву в оплаті праці жінок і чоловіків</w:t>
            </w: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співвідношення середньої заробітної плати жінок і чоловіків</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w:t>
            </w:r>
          </w:p>
        </w:tc>
      </w:tr>
      <w:tr w:rsidR="003E3963" w:rsidTr="003E3963">
        <w:trPr>
          <w:trHeight w:val="15"/>
        </w:trPr>
        <w:tc>
          <w:tcPr>
            <w:tcW w:w="0" w:type="auto"/>
            <w:vMerge/>
            <w:tcBorders>
              <w:top w:val="nil"/>
              <w:left w:val="nil"/>
              <w:bottom w:val="nil"/>
              <w:right w:val="nil"/>
            </w:tcBorders>
            <w:vAlign w:val="center"/>
            <w:hideMark/>
          </w:tcPr>
          <w:p w:rsidR="003E3963" w:rsidRDefault="003E3963">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частка чоловіків серед осіб, які перебувають у відпустці по догляду за дитиною до досягнення нею трирічного віку</w:t>
            </w:r>
          </w:p>
        </w:tc>
        <w:tc>
          <w:tcPr>
            <w:tcW w:w="115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25" w:type="dxa"/>
            <w:tcBorders>
              <w:top w:val="nil"/>
              <w:left w:val="nil"/>
              <w:bottom w:val="nil"/>
              <w:right w:val="nil"/>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63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525"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54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660" w:type="dxa"/>
            <w:tcBorders>
              <w:top w:val="nil"/>
              <w:left w:val="nil"/>
              <w:bottom w:val="nil"/>
              <w:right w:val="nil"/>
            </w:tcBorders>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3E3963" w:rsidTr="003E3963">
        <w:trPr>
          <w:trHeight w:val="15"/>
        </w:trPr>
        <w:tc>
          <w:tcPr>
            <w:tcW w:w="2700"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 Зміцнення державно-приватного партнерства у сфері забезпечення рівних прав та можливостей жінок і чоловіків</w:t>
            </w:r>
          </w:p>
        </w:tc>
        <w:tc>
          <w:tcPr>
            <w:tcW w:w="2550"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кількість заходів та проектів, що реалізовані спільно з громадськими організаціями</w:t>
            </w:r>
          </w:p>
        </w:tc>
        <w:tc>
          <w:tcPr>
            <w:tcW w:w="1155"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одиниць</w:t>
            </w:r>
          </w:p>
        </w:tc>
        <w:tc>
          <w:tcPr>
            <w:tcW w:w="825"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w:t>
            </w:r>
          </w:p>
        </w:tc>
        <w:tc>
          <w:tcPr>
            <w:tcW w:w="630"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525"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before="150" w:after="150" w:line="15"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540" w:type="dxa"/>
            <w:tcBorders>
              <w:top w:val="nil"/>
              <w:left w:val="nil"/>
              <w:bottom w:val="nil"/>
              <w:right w:val="nil"/>
            </w:tcBorders>
            <w:shd w:val="clear" w:color="auto" w:fill="FFFFFF"/>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c>
          <w:tcPr>
            <w:tcW w:w="0" w:type="auto"/>
            <w:tcBorders>
              <w:top w:val="nil"/>
              <w:left w:val="nil"/>
              <w:bottom w:val="outset" w:sz="2" w:space="0" w:color="auto"/>
              <w:right w:val="outset" w:sz="2" w:space="0" w:color="auto"/>
            </w:tcBorders>
            <w:tcMar>
              <w:top w:w="15" w:type="dxa"/>
              <w:left w:w="15" w:type="dxa"/>
              <w:bottom w:w="15" w:type="dxa"/>
              <w:right w:w="15" w:type="dxa"/>
            </w:tcMar>
            <w:hideMark/>
          </w:tcPr>
          <w:p w:rsidR="003E3963" w:rsidRDefault="003E3963">
            <w:pPr>
              <w:spacing w:after="0"/>
              <w:rPr>
                <w:rFonts w:eastAsiaTheme="minorEastAsia" w:cs="Times New Roman"/>
                <w:lang w:val="ru-RU" w:eastAsia="ru-RU"/>
              </w:rPr>
            </w:pPr>
          </w:p>
        </w:tc>
      </w:tr>
    </w:tbl>
    <w:p w:rsidR="003E3963" w:rsidRDefault="003E3963" w:rsidP="003E3963">
      <w:bookmarkStart w:id="57" w:name="_GoBack"/>
      <w:bookmarkEnd w:id="57"/>
    </w:p>
    <w:p w:rsidR="006D1466" w:rsidRDefault="006D1466"/>
    <w:sectPr w:rsidR="006D1466" w:rsidSect="006D1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3963"/>
    <w:rsid w:val="003E3963"/>
    <w:rsid w:val="006D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6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963"/>
    <w:rPr>
      <w:color w:val="0000FF"/>
      <w:u w:val="single"/>
    </w:rPr>
  </w:style>
</w:styles>
</file>

<file path=word/webSettings.xml><?xml version="1.0" encoding="utf-8"?>
<w:webSettings xmlns:r="http://schemas.openxmlformats.org/officeDocument/2006/relationships" xmlns:w="http://schemas.openxmlformats.org/wordprocessingml/2006/main">
  <w:divs>
    <w:div w:id="10854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9-2017-%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73-2018-%D0%BF/print" TargetMode="External"/><Relationship Id="rId12" Type="http://schemas.openxmlformats.org/officeDocument/2006/relationships/hyperlink" Target="http://zakon.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866-15" TargetMode="External"/><Relationship Id="rId11" Type="http://schemas.openxmlformats.org/officeDocument/2006/relationships/hyperlink" Target="http://zakon.rada.gov.ua/laws/show/273-2018-%D0%BF/print" TargetMode="External"/><Relationship Id="rId5" Type="http://schemas.openxmlformats.org/officeDocument/2006/relationships/hyperlink" Target="http://zakon.rada.gov.ua/laws/show/273-2018-%D0%BF/print" TargetMode="External"/><Relationship Id="rId10" Type="http://schemas.openxmlformats.org/officeDocument/2006/relationships/hyperlink" Target="http://zakon.rada.gov.ua/laws/show/273-2018-%D0%BF/print" TargetMode="External"/><Relationship Id="rId4" Type="http://schemas.openxmlformats.org/officeDocument/2006/relationships/hyperlink" Target="http://zakon.rada.gov.ua/laws/show/273-2018-%D0%BF/print" TargetMode="External"/><Relationship Id="rId9" Type="http://schemas.openxmlformats.org/officeDocument/2006/relationships/hyperlink" Target="http://zakon.rada.gov.ua/laws/show/273-2018-%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dc:creator>
  <cp:keywords/>
  <dc:description/>
  <cp:lastModifiedBy>УСЗН</cp:lastModifiedBy>
  <cp:revision>3</cp:revision>
  <dcterms:created xsi:type="dcterms:W3CDTF">2021-03-19T08:03:00Z</dcterms:created>
  <dcterms:modified xsi:type="dcterms:W3CDTF">2021-03-19T08:03:00Z</dcterms:modified>
</cp:coreProperties>
</file>