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C" w:rsidRPr="00EE4BFE" w:rsidRDefault="00AE25CC" w:rsidP="00AE25CC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0" t="0" r="9525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CC" w:rsidRPr="00EE4BFE" w:rsidRDefault="00AE25CC" w:rsidP="00AE25C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E25CC" w:rsidRPr="00EE4BFE" w:rsidRDefault="00AE25CC" w:rsidP="00AE25C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E25CC" w:rsidRPr="00EE4BFE" w:rsidRDefault="00AE25CC" w:rsidP="00AE25C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AE25CC" w:rsidRPr="00EE4BFE" w:rsidRDefault="00AE25CC" w:rsidP="00AE25C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AE25CC" w:rsidRPr="00EE4BFE" w:rsidRDefault="00AE25CC" w:rsidP="00AE25C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7A06CA" w:rsidRPr="00EE4B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AE25CC" w:rsidRPr="00EE4BFE" w:rsidRDefault="00AE25CC" w:rsidP="00AE25C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AE25CC" w:rsidRPr="00EE4BFE" w:rsidRDefault="00AE25CC" w:rsidP="00AE25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AE25CC" w:rsidRPr="00EE4BFE" w:rsidRDefault="00AE25CC" w:rsidP="00AE25CC">
      <w:pPr>
        <w:tabs>
          <w:tab w:val="center" w:pos="4961"/>
          <w:tab w:val="right" w:pos="9355"/>
        </w:tabs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b/>
          <w:sz w:val="24"/>
          <w:szCs w:val="24"/>
          <w:lang w:val="uk-UA"/>
        </w:rPr>
        <w:tab/>
        <w:t>РІШЕННЯ</w:t>
      </w:r>
      <w:r w:rsidRPr="00EE4BF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p w:rsidR="00AE25CC" w:rsidRPr="00EE4BFE" w:rsidRDefault="00AE25CC" w:rsidP="00AE25C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 w:eastAsia="ar-SA"/>
        </w:rPr>
        <w:t>Про внесення змін та доповнень до рішення виконавчого комітету від 01 березня 2021 року №</w:t>
      </w:r>
      <w:r w:rsidR="00385C1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E4BFE">
        <w:rPr>
          <w:rFonts w:ascii="Times New Roman" w:hAnsi="Times New Roman"/>
          <w:sz w:val="24"/>
          <w:szCs w:val="24"/>
          <w:lang w:val="uk-UA" w:eastAsia="ar-SA"/>
        </w:rPr>
        <w:t>37 «Про утворення комісії  з питань  техногенно-екологічної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E4BFE">
        <w:rPr>
          <w:rFonts w:ascii="Times New Roman" w:hAnsi="Times New Roman"/>
          <w:sz w:val="24"/>
          <w:szCs w:val="24"/>
          <w:lang w:val="uk-UA" w:eastAsia="ar-SA"/>
        </w:rPr>
        <w:t>безпеки  та надзвичайних ситуацій  виконавчого комітету Саратської селищної ради»</w:t>
      </w:r>
    </w:p>
    <w:p w:rsidR="00AE25CC" w:rsidRPr="00EE4BFE" w:rsidRDefault="00AE25CC" w:rsidP="00AE25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E25CC" w:rsidRPr="00EE4BFE" w:rsidRDefault="00AE25CC" w:rsidP="00AE25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E4BFE">
        <w:rPr>
          <w:rFonts w:ascii="Times New Roman" w:hAnsi="Times New Roman"/>
          <w:sz w:val="24"/>
          <w:szCs w:val="24"/>
          <w:lang w:val="uk-UA" w:eastAsia="ar-SA"/>
        </w:rPr>
        <w:t xml:space="preserve">Відповідно до  статі  38 Закону України «Про місцеве самоврядування в Україні» та постанов Кабінету Міністрів України від 17.06.2015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</w:t>
      </w:r>
      <w:r w:rsidR="009D29AF" w:rsidRPr="00EE4BFE">
        <w:rPr>
          <w:rFonts w:ascii="Times New Roman" w:hAnsi="Times New Roman"/>
          <w:sz w:val="24"/>
          <w:szCs w:val="24"/>
          <w:lang w:val="uk-UA" w:eastAsia="ar-SA"/>
        </w:rPr>
        <w:t xml:space="preserve">від 27.09.2022 року  №1078 «Про внесення зміни до Типового положення про регіональну та місцеву комісію з питань техногенно-екологічної безпеки і надзвичайних ситуацій», </w:t>
      </w:r>
      <w:r w:rsidRPr="00EE4BFE">
        <w:rPr>
          <w:rFonts w:ascii="Times New Roman" w:hAnsi="Times New Roman"/>
          <w:sz w:val="24"/>
          <w:szCs w:val="24"/>
          <w:lang w:val="uk-UA" w:eastAsia="ar-SA"/>
        </w:rPr>
        <w:t>з метою вдосконалення роботи з питань техногенно-екологічної безпеки і надзвичайних ситуацій, виконавчий комітет</w:t>
      </w:r>
      <w:r w:rsidR="007A06CA" w:rsidRPr="00EE4BFE">
        <w:rPr>
          <w:rFonts w:ascii="Times New Roman" w:hAnsi="Times New Roman"/>
          <w:sz w:val="24"/>
          <w:szCs w:val="24"/>
          <w:lang w:val="uk-UA" w:eastAsia="ar-SA"/>
        </w:rPr>
        <w:t xml:space="preserve"> селищної ради</w:t>
      </w:r>
    </w:p>
    <w:p w:rsidR="00AE25CC" w:rsidRPr="00EE4BFE" w:rsidRDefault="00AE25CC" w:rsidP="00AE25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5CC" w:rsidRPr="00EE4BFE" w:rsidRDefault="00AE25CC" w:rsidP="007A06C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AE25CC" w:rsidRPr="00EE4BFE" w:rsidRDefault="00AE25CC" w:rsidP="00AE25C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ab/>
      </w:r>
    </w:p>
    <w:p w:rsidR="00AE25CC" w:rsidRPr="00EE4BFE" w:rsidRDefault="00AE25CC" w:rsidP="00AE25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1. Внести до рішення виконавчого комітету від 01 березня 2021 року №37 «Про утворення комісії  з питань техногенно-екологічної безпеки  та надзвичайних ситуацій виконавчого комітету Саратської селищної ради» такі зміни:</w:t>
      </w:r>
    </w:p>
    <w:p w:rsidR="00AE25CC" w:rsidRPr="00EE4BFE" w:rsidRDefault="00AE25CC" w:rsidP="00AE25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1.1. Додаток 1 до рішення викласти у новій редакції згідно з додатком 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цьо</w:t>
      </w:r>
      <w:r w:rsidRPr="00EE4BFE">
        <w:rPr>
          <w:rFonts w:ascii="Times New Roman" w:hAnsi="Times New Roman"/>
          <w:sz w:val="24"/>
          <w:szCs w:val="24"/>
          <w:lang w:val="uk-UA"/>
        </w:rPr>
        <w:t>го рішення.</w:t>
      </w:r>
    </w:p>
    <w:p w:rsidR="009D29AF" w:rsidRPr="00EE4BFE" w:rsidRDefault="00AE25CC" w:rsidP="009D29A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29AF" w:rsidRPr="00EE4BFE">
        <w:rPr>
          <w:rFonts w:ascii="Times New Roman" w:hAnsi="Times New Roman"/>
          <w:sz w:val="24"/>
          <w:szCs w:val="24"/>
          <w:lang w:val="uk-UA"/>
        </w:rPr>
        <w:t xml:space="preserve">1.2. Додаток 2 до рішення викласти у новій редакції згідно з додатком 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9D29AF" w:rsidRPr="00EE4BF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ць</w:t>
      </w:r>
      <w:r w:rsidR="009D29AF" w:rsidRPr="00EE4BFE">
        <w:rPr>
          <w:rFonts w:ascii="Times New Roman" w:hAnsi="Times New Roman"/>
          <w:sz w:val="24"/>
          <w:szCs w:val="24"/>
          <w:lang w:val="uk-UA"/>
        </w:rPr>
        <w:t>ого рішення.</w:t>
      </w:r>
    </w:p>
    <w:p w:rsidR="00AE25CC" w:rsidRPr="00EE4BFE" w:rsidRDefault="00AE25CC" w:rsidP="00AE25C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5CC" w:rsidRPr="00EE4BFE" w:rsidRDefault="00AE25CC" w:rsidP="00AE25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2.Контроль за виконанням 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ць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9D29AF" w:rsidRPr="00EE4BFE">
        <w:rPr>
          <w:rFonts w:ascii="Times New Roman" w:hAnsi="Times New Roman"/>
          <w:sz w:val="24"/>
          <w:szCs w:val="24"/>
          <w:lang w:val="uk-UA"/>
        </w:rPr>
        <w:t>секретаря селищної ради В.П.</w:t>
      </w:r>
      <w:proofErr w:type="spellStart"/>
      <w:r w:rsidR="009D29AF" w:rsidRPr="00EE4BFE">
        <w:rPr>
          <w:rFonts w:ascii="Times New Roman" w:hAnsi="Times New Roman"/>
          <w:sz w:val="24"/>
          <w:szCs w:val="24"/>
          <w:lang w:val="uk-UA"/>
        </w:rPr>
        <w:t>Проданова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>.</w:t>
      </w:r>
    </w:p>
    <w:p w:rsidR="00AE25CC" w:rsidRPr="00EE4BFE" w:rsidRDefault="00AE25CC" w:rsidP="00AE25CC">
      <w:pPr>
        <w:pStyle w:val="a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E25CC" w:rsidRPr="00EE4BFE" w:rsidRDefault="00AE25CC" w:rsidP="00AE25CC">
      <w:pPr>
        <w:ind w:firstLine="708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E25CC" w:rsidRPr="00EE4BFE" w:rsidRDefault="00AE25CC" w:rsidP="00AE25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sz w:val="24"/>
          <w:szCs w:val="24"/>
          <w:lang w:val="uk-UA"/>
        </w:rPr>
        <w:t>Селищний голова                                                                                                      В.Д.</w:t>
      </w:r>
      <w:proofErr w:type="spellStart"/>
      <w:r w:rsidRPr="00EE4BFE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AE25CC" w:rsidRPr="00EE4BFE" w:rsidRDefault="00AE25CC" w:rsidP="00AE25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5CC" w:rsidRPr="00EE4BFE" w:rsidRDefault="00001CA7" w:rsidP="00AE25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D29AF" w:rsidRPr="00EE4BFE">
        <w:rPr>
          <w:rFonts w:ascii="Times New Roman" w:hAnsi="Times New Roman" w:cs="Times New Roman"/>
          <w:sz w:val="24"/>
          <w:szCs w:val="24"/>
          <w:lang w:val="uk-UA"/>
        </w:rPr>
        <w:t xml:space="preserve">  листопада</w:t>
      </w:r>
      <w:r w:rsidR="00AE25CC" w:rsidRPr="00EE4BFE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9D29AF" w:rsidRPr="00EE4B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E25CC" w:rsidRPr="00EE4BF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01CA7" w:rsidRPr="00EE4BFE" w:rsidRDefault="00AE25CC" w:rsidP="00AE25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01CA7" w:rsidRPr="00EE4BFE">
        <w:rPr>
          <w:rFonts w:ascii="Times New Roman" w:hAnsi="Times New Roman" w:cs="Times New Roman"/>
          <w:sz w:val="24"/>
          <w:szCs w:val="24"/>
          <w:lang w:val="uk-UA"/>
        </w:rPr>
        <w:t>464</w:t>
      </w:r>
    </w:p>
    <w:p w:rsidR="00001CA7" w:rsidRPr="00EE4BFE" w:rsidRDefault="00001CA7" w:rsidP="00AE25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5CC" w:rsidRPr="00EE4BFE" w:rsidRDefault="00AE25CC" w:rsidP="00AE25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E25CC" w:rsidRPr="00EE4BFE" w:rsidRDefault="00AE25CC" w:rsidP="00AE25CC">
      <w:pPr>
        <w:pStyle w:val="a3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AE25CC" w:rsidRPr="00EE4BFE" w:rsidRDefault="002E157F" w:rsidP="00AE25C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eastAsiaTheme="minorEastAsia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  <w:r w:rsidR="00AE25CC" w:rsidRPr="00EE4BF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EE4BFE">
        <w:rPr>
          <w:rFonts w:ascii="Times New Roman" w:hAnsi="Times New Roman"/>
          <w:sz w:val="24"/>
          <w:szCs w:val="24"/>
          <w:lang w:val="uk-UA"/>
        </w:rPr>
        <w:t>1</w:t>
      </w:r>
    </w:p>
    <w:p w:rsidR="00AE25CC" w:rsidRPr="00EE4BFE" w:rsidRDefault="00AE25CC" w:rsidP="00AE25CC">
      <w:pPr>
        <w:pStyle w:val="a3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до рішення виконавчого</w:t>
      </w:r>
    </w:p>
    <w:p w:rsidR="00AE25CC" w:rsidRPr="00EE4BFE" w:rsidRDefault="00AE25CC" w:rsidP="00AE25CC">
      <w:pPr>
        <w:pStyle w:val="a3"/>
        <w:ind w:left="5664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комітету Саратської  селищної ради</w:t>
      </w:r>
    </w:p>
    <w:p w:rsidR="00AE25CC" w:rsidRPr="00EE4BFE" w:rsidRDefault="00AE25CC" w:rsidP="00AE25CC">
      <w:pPr>
        <w:pStyle w:val="a3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01CA7" w:rsidRPr="00EE4BFE">
        <w:rPr>
          <w:rFonts w:ascii="Times New Roman" w:hAnsi="Times New Roman"/>
          <w:sz w:val="24"/>
          <w:szCs w:val="24"/>
          <w:lang w:val="uk-UA"/>
        </w:rPr>
        <w:t>22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D29AF" w:rsidRPr="00EE4BFE">
        <w:rPr>
          <w:rFonts w:ascii="Times New Roman" w:hAnsi="Times New Roman"/>
          <w:sz w:val="24"/>
          <w:szCs w:val="24"/>
          <w:lang w:val="uk-UA"/>
        </w:rPr>
        <w:t>листопада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9D29AF" w:rsidRPr="00EE4BFE">
        <w:rPr>
          <w:rFonts w:ascii="Times New Roman" w:hAnsi="Times New Roman"/>
          <w:sz w:val="24"/>
          <w:szCs w:val="24"/>
          <w:lang w:val="uk-UA"/>
        </w:rPr>
        <w:t>2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AE25CC" w:rsidRPr="00EE4BFE" w:rsidRDefault="00AE25CC" w:rsidP="00AE25CC">
      <w:pPr>
        <w:pStyle w:val="a3"/>
        <w:ind w:left="4956" w:firstLine="708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001CA7" w:rsidRPr="00EE4BFE">
        <w:rPr>
          <w:rFonts w:ascii="Times New Roman" w:hAnsi="Times New Roman"/>
          <w:sz w:val="24"/>
          <w:szCs w:val="24"/>
          <w:lang w:val="uk-UA"/>
        </w:rPr>
        <w:t>464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25CC" w:rsidRPr="00EE4BFE" w:rsidRDefault="00AE25CC" w:rsidP="00AE25C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E25CC" w:rsidRPr="00EE4BFE" w:rsidRDefault="00AE25CC" w:rsidP="00AE25C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E25CC" w:rsidRPr="00EE4BFE" w:rsidRDefault="00AE25CC" w:rsidP="00AE25C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 xml:space="preserve">Нова  редакція додатку 1 до рішення </w:t>
      </w:r>
      <w:r w:rsidRPr="00EE4BFE">
        <w:rPr>
          <w:rFonts w:ascii="Times New Roman" w:hAnsi="Times New Roman"/>
          <w:b/>
          <w:sz w:val="24"/>
          <w:szCs w:val="24"/>
          <w:lang w:val="uk-UA" w:eastAsia="ar-SA"/>
        </w:rPr>
        <w:t>виконавчого комітету від 01 березня 2021 року №37 «Про утворення комісії  з питань  техногенно-екологічної</w:t>
      </w:r>
      <w:r w:rsidRPr="00EE4BF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EE4BFE">
        <w:rPr>
          <w:rFonts w:ascii="Times New Roman" w:hAnsi="Times New Roman"/>
          <w:b/>
          <w:sz w:val="24"/>
          <w:szCs w:val="24"/>
          <w:lang w:val="uk-UA" w:eastAsia="ar-SA"/>
        </w:rPr>
        <w:t>безпеки  та надзвичайних ситуацій  виконавчого комітету Саратської селищної ради»</w:t>
      </w:r>
    </w:p>
    <w:p w:rsidR="00AE25CC" w:rsidRPr="00EE4BFE" w:rsidRDefault="00AE25CC" w:rsidP="00AE25C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E25CC" w:rsidRPr="00EE4BFE" w:rsidRDefault="00AE25CC" w:rsidP="00AE25C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E25CC" w:rsidRPr="00EE4BFE" w:rsidRDefault="00AE25CC" w:rsidP="00AE25C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ПЕРСОНАЛЬНИЙ СКЛАД</w:t>
      </w:r>
    </w:p>
    <w:p w:rsidR="00AE25CC" w:rsidRPr="00EE4BFE" w:rsidRDefault="00AE25CC" w:rsidP="00AE25C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комісії з питань техногенно-екологічної безпеки та надзвичайних ситуацій виконавчого комітету Саратської селищної ради</w:t>
      </w:r>
    </w:p>
    <w:p w:rsidR="00AE25CC" w:rsidRPr="00EE4BFE" w:rsidRDefault="00AE25CC" w:rsidP="00AE25C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0F74DB" w:rsidRPr="00EE4BFE" w:rsidTr="00F01AF4">
        <w:tc>
          <w:tcPr>
            <w:tcW w:w="4077" w:type="dxa"/>
          </w:tcPr>
          <w:p w:rsidR="000F74DB" w:rsidRPr="00EE4BFE" w:rsidRDefault="00F01AF4" w:rsidP="00F01A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Райчева</w:t>
            </w:r>
            <w:proofErr w:type="spellEnd"/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Вікторія Дмитрівна  </w:t>
            </w:r>
          </w:p>
        </w:tc>
        <w:tc>
          <w:tcPr>
            <w:tcW w:w="5494" w:type="dxa"/>
          </w:tcPr>
          <w:p w:rsidR="000F74DB" w:rsidRPr="00EE4BFE" w:rsidRDefault="00F01AF4" w:rsidP="00257E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селищний голова - голова комісії;</w:t>
            </w:r>
          </w:p>
        </w:tc>
      </w:tr>
      <w:tr w:rsidR="00F01AF4" w:rsidRPr="00EE4BFE" w:rsidTr="00F01AF4">
        <w:tc>
          <w:tcPr>
            <w:tcW w:w="4077" w:type="dxa"/>
          </w:tcPr>
          <w:p w:rsidR="00F01AF4" w:rsidRPr="00EE4BFE" w:rsidRDefault="00F01AF4" w:rsidP="00F01A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Дудуш</w:t>
            </w:r>
            <w:proofErr w:type="spellEnd"/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  Іванович </w:t>
            </w:r>
          </w:p>
        </w:tc>
        <w:tc>
          <w:tcPr>
            <w:tcW w:w="5494" w:type="dxa"/>
          </w:tcPr>
          <w:p w:rsidR="00F01AF4" w:rsidRPr="00EE4BFE" w:rsidRDefault="00F01AF4" w:rsidP="00257E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заступник селищного голови  - перший   заступник голови комісії;  </w:t>
            </w:r>
          </w:p>
        </w:tc>
      </w:tr>
      <w:tr w:rsidR="00F01AF4" w:rsidRPr="00EE4BFE" w:rsidTr="00F01AF4">
        <w:tc>
          <w:tcPr>
            <w:tcW w:w="4077" w:type="dxa"/>
          </w:tcPr>
          <w:p w:rsidR="00257E52" w:rsidRPr="00EE4BFE" w:rsidRDefault="00257E52" w:rsidP="00257E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Клімов Андрій Іванович</w:t>
            </w:r>
          </w:p>
          <w:p w:rsidR="00F01AF4" w:rsidRPr="00EE4BFE" w:rsidRDefault="00F01AF4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01AF4" w:rsidRPr="00EE4BFE" w:rsidRDefault="00257E52" w:rsidP="00257E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заступник начальника  ВЗНС  Білгород-Дністровського РУ  ГУ ДСНС України в Одеській області – заступник голови комісії ;</w:t>
            </w:r>
          </w:p>
        </w:tc>
      </w:tr>
      <w:tr w:rsidR="00257E52" w:rsidRPr="00EE4BFE" w:rsidTr="00F01AF4">
        <w:tc>
          <w:tcPr>
            <w:tcW w:w="4077" w:type="dxa"/>
          </w:tcPr>
          <w:p w:rsidR="00257E52" w:rsidRPr="00EE4BFE" w:rsidRDefault="00257E52" w:rsidP="00257E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Граматик Раїса Вікторівна</w:t>
            </w:r>
          </w:p>
        </w:tc>
        <w:tc>
          <w:tcPr>
            <w:tcW w:w="5494" w:type="dxa"/>
          </w:tcPr>
          <w:p w:rsidR="00257E52" w:rsidRPr="00EE4BFE" w:rsidRDefault="00257E52" w:rsidP="00257E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головний спеціаліст з питань цивільного захисту та мобілізаційної роботи селищної ради – секретар комісії </w:t>
            </w:r>
          </w:p>
        </w:tc>
      </w:tr>
      <w:tr w:rsidR="00E419C6" w:rsidRPr="00EE4BFE" w:rsidTr="00E419C6">
        <w:tc>
          <w:tcPr>
            <w:tcW w:w="9571" w:type="dxa"/>
            <w:gridSpan w:val="2"/>
          </w:tcPr>
          <w:p w:rsidR="00E419C6" w:rsidRPr="00EE4BFE" w:rsidRDefault="00E419C6" w:rsidP="00E419C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257E52" w:rsidRPr="00EE4BFE" w:rsidTr="00F01AF4">
        <w:tc>
          <w:tcPr>
            <w:tcW w:w="4077" w:type="dxa"/>
          </w:tcPr>
          <w:p w:rsidR="00E419C6" w:rsidRPr="00EE4BFE" w:rsidRDefault="00E419C6" w:rsidP="00E419C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Буюклі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Олександр Іванович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C313F5" w:rsidP="002203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 відділення №1  Білгород-Дністровського районного відділу поліції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Одеській області (за згодою);</w:t>
            </w:r>
          </w:p>
        </w:tc>
      </w:tr>
      <w:tr w:rsidR="00257E52" w:rsidRPr="00EE4BFE" w:rsidTr="00F01AF4">
        <w:tc>
          <w:tcPr>
            <w:tcW w:w="4077" w:type="dxa"/>
          </w:tcPr>
          <w:p w:rsidR="002203D7" w:rsidRPr="00EE4BFE" w:rsidRDefault="002203D7" w:rsidP="002203D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Гайворонська Оксана Миколаївна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2203D7" w:rsidP="002203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Заступник начальника Саратської  метеостанції    (за згодою);</w:t>
            </w:r>
          </w:p>
        </w:tc>
      </w:tr>
      <w:tr w:rsidR="00257E52" w:rsidRPr="00EE4BFE" w:rsidTr="00F01AF4">
        <w:tc>
          <w:tcPr>
            <w:tcW w:w="4077" w:type="dxa"/>
          </w:tcPr>
          <w:p w:rsidR="00257E52" w:rsidRPr="00EE4BFE" w:rsidRDefault="002203D7" w:rsidP="002203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Георгієв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Георгій Георгійович</w:t>
            </w:r>
          </w:p>
        </w:tc>
        <w:tc>
          <w:tcPr>
            <w:tcW w:w="5494" w:type="dxa"/>
          </w:tcPr>
          <w:p w:rsidR="00257E52" w:rsidRPr="00EE4BFE" w:rsidRDefault="002203D7" w:rsidP="002203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приватний підприємець  ПП «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Георгієв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Г.Г.»         (за згодою);</w:t>
            </w:r>
          </w:p>
        </w:tc>
      </w:tr>
      <w:tr w:rsidR="00257E52" w:rsidRPr="00EE4BFE" w:rsidTr="00F01AF4">
        <w:tc>
          <w:tcPr>
            <w:tcW w:w="4077" w:type="dxa"/>
          </w:tcPr>
          <w:p w:rsidR="002203D7" w:rsidRPr="00EE4BFE" w:rsidRDefault="002203D7" w:rsidP="002203D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Чеботар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Вікторія Андріївна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2203D7" w:rsidP="002203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- бактеріолог Білгород-Дністровського районного відокремленого підрозділу ДУ «Одеський ОЦКПХ МОЗ»              (за згодою);</w:t>
            </w:r>
          </w:p>
        </w:tc>
      </w:tr>
      <w:tr w:rsidR="00257E52" w:rsidRPr="00EE4BFE" w:rsidTr="00F01AF4">
        <w:tc>
          <w:tcPr>
            <w:tcW w:w="4077" w:type="dxa"/>
          </w:tcPr>
          <w:p w:rsidR="00F574BC" w:rsidRPr="00EE4BFE" w:rsidRDefault="00F574BC" w:rsidP="00F574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Небога Олександр Іванович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F574BC" w:rsidP="00F574B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майнових питань Білгород-Дністровської районної ради Одеської області;</w:t>
            </w:r>
          </w:p>
        </w:tc>
      </w:tr>
      <w:tr w:rsidR="00257E52" w:rsidRPr="00EE4BFE" w:rsidTr="00F01AF4">
        <w:tc>
          <w:tcPr>
            <w:tcW w:w="4077" w:type="dxa"/>
          </w:tcPr>
          <w:p w:rsidR="00F574BC" w:rsidRPr="00EE4BFE" w:rsidRDefault="00F574BC" w:rsidP="00F574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Небога Ольга Іванівна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574BC" w:rsidRPr="00EE4BFE" w:rsidRDefault="00F574BC" w:rsidP="00F574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фінансового управління  селищної ради;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F574BC" w:rsidRPr="00EE4BFE" w:rsidRDefault="00F574BC" w:rsidP="00F574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Даракчі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574BC" w:rsidRPr="00EE4BFE" w:rsidRDefault="00F574BC" w:rsidP="00F574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соціального захисту селищної ради;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326EFB" w:rsidRPr="00EE4BFE" w:rsidRDefault="00326EFB" w:rsidP="00326E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Кольцун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Наталія Петрівна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326EFB" w:rsidP="00326E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– головний архітектор селищної ради;</w:t>
            </w:r>
          </w:p>
        </w:tc>
      </w:tr>
      <w:tr w:rsidR="00257E52" w:rsidRPr="00EE4BFE" w:rsidTr="00F01AF4">
        <w:tc>
          <w:tcPr>
            <w:tcW w:w="4077" w:type="dxa"/>
          </w:tcPr>
          <w:p w:rsidR="00257E52" w:rsidRPr="00EE4BFE" w:rsidRDefault="00326EFB" w:rsidP="00326E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Пацьора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Володимир  Іванович</w:t>
            </w:r>
          </w:p>
        </w:tc>
        <w:tc>
          <w:tcPr>
            <w:tcW w:w="5494" w:type="dxa"/>
          </w:tcPr>
          <w:p w:rsidR="00326EFB" w:rsidRPr="00EE4BFE" w:rsidRDefault="00326EFB" w:rsidP="00326E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начальник 33 ДПРЧ 2 ДПРЗ ГУ ДСНС України в Одеській області;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326EFB" w:rsidRPr="00EE4BFE" w:rsidRDefault="00326EFB" w:rsidP="00326E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  Валентинович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326EFB" w:rsidP="00526F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головного інженера Саратської дільниці Татарбунарської електричної мережі АТ «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Одесобленерго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» (за згодою);</w:t>
            </w:r>
          </w:p>
        </w:tc>
      </w:tr>
      <w:tr w:rsidR="00257E52" w:rsidRPr="00EE4BFE" w:rsidTr="00F01AF4">
        <w:tc>
          <w:tcPr>
            <w:tcW w:w="4077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Осипенко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Валентинович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філії «Саратська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ДЕД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«Одеський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облавтодор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» (за згодою);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Проданов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Володимир  Протасович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секретар селищної ради;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Миколайович 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526F86" w:rsidP="004513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«Саратська центральна лікарня»</w:t>
            </w:r>
          </w:p>
        </w:tc>
      </w:tr>
      <w:tr w:rsidR="00257E52" w:rsidRPr="00EE4BFE" w:rsidTr="00F01AF4">
        <w:tc>
          <w:tcPr>
            <w:tcW w:w="4077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Смолій Василь Костянтинович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526F86" w:rsidP="004513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головний інженер Саратської дільниці Білгород-Дністровського міжрайонного управління водного господарства (за згодою);</w:t>
            </w:r>
          </w:p>
        </w:tc>
      </w:tr>
      <w:tr w:rsidR="00257E52" w:rsidRPr="00EE4BFE" w:rsidTr="00F01AF4">
        <w:tc>
          <w:tcPr>
            <w:tcW w:w="4077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Стогній Олександра Павлівна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526F86" w:rsidP="004513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«Саратський центр первинної медико-санітарної допомоги»;</w:t>
            </w:r>
          </w:p>
        </w:tc>
      </w:tr>
      <w:tr w:rsidR="00257E52" w:rsidRPr="00EE4BFE" w:rsidTr="00F01AF4">
        <w:tc>
          <w:tcPr>
            <w:tcW w:w="4077" w:type="dxa"/>
          </w:tcPr>
          <w:p w:rsidR="00526F86" w:rsidRPr="00EE4BFE" w:rsidRDefault="00526F86" w:rsidP="00526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Страт</w:t>
            </w:r>
            <w:r w:rsidR="0045139B"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Нел</w:t>
            </w:r>
            <w:r w:rsidR="0045139B"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Григорівна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257E52" w:rsidRPr="00EE4BFE" w:rsidRDefault="0045139B" w:rsidP="004513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управління освіти, сім’ї , молоді та спорту селищної ради;</w:t>
            </w:r>
          </w:p>
        </w:tc>
      </w:tr>
      <w:tr w:rsidR="00257E52" w:rsidRPr="00EE4BFE" w:rsidTr="00F01AF4">
        <w:tc>
          <w:tcPr>
            <w:tcW w:w="4077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Сулаков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Семенович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приватний підприємець (за згодою);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Тодоров Михайло Іванович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(секретар) виконавчого комітету селищної ради;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Чиклікчи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Георгій Гаврилович 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голова СВК «Дружба» (за згодою);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45139B" w:rsidRPr="00EE4BFE" w:rsidRDefault="0045139B" w:rsidP="004513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Бот  Олена Геннадіївна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староста села Світлодолинське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Максименко Тетяна Кирилівна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сіл Долинка та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Михайлівка</w:t>
            </w:r>
            <w:proofErr w:type="spellEnd"/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Сирбу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Федорович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Сухаревська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староста села Зоря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7E52" w:rsidRPr="00EE4BFE" w:rsidTr="00F01AF4">
        <w:tc>
          <w:tcPr>
            <w:tcW w:w="4077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Чернишов Юрій Іванович</w:t>
            </w:r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9E7304" w:rsidRPr="00EE4BFE" w:rsidRDefault="009E7304" w:rsidP="009E73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сіл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Введенка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Мирнопілля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Кам’янка, Нова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Івановка</w:t>
            </w:r>
            <w:proofErr w:type="spellEnd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Нова </w:t>
            </w:r>
            <w:proofErr w:type="spellStart"/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Плахтіївка</w:t>
            </w:r>
            <w:proofErr w:type="spellEnd"/>
          </w:p>
          <w:p w:rsidR="00257E52" w:rsidRPr="00EE4BFE" w:rsidRDefault="00257E52" w:rsidP="00AE25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E25CC" w:rsidRPr="00EE4BFE" w:rsidRDefault="00AE25CC" w:rsidP="00AE25CC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724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42"/>
        <w:gridCol w:w="4253"/>
        <w:gridCol w:w="372"/>
        <w:gridCol w:w="425"/>
        <w:gridCol w:w="5325"/>
        <w:gridCol w:w="207"/>
      </w:tblGrid>
      <w:tr w:rsidR="00AE25CC" w:rsidRPr="00EE4BFE" w:rsidTr="00B0781B">
        <w:trPr>
          <w:gridAfter w:val="1"/>
          <w:wAfter w:w="207" w:type="dxa"/>
          <w:trHeight w:val="494"/>
        </w:trPr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25CC" w:rsidRPr="00EE4BFE" w:rsidRDefault="00AE25CC" w:rsidP="007A06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CC" w:rsidRPr="00EE4BFE" w:rsidRDefault="00AE25CC" w:rsidP="00F01A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25CC" w:rsidRPr="00EE4BFE" w:rsidTr="00B0781B">
        <w:trPr>
          <w:gridAfter w:val="1"/>
          <w:wAfter w:w="207" w:type="dxa"/>
          <w:trHeight w:val="742"/>
        </w:trPr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25CC" w:rsidRPr="00EE4BFE" w:rsidRDefault="00AE25CC" w:rsidP="007A06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CC" w:rsidRPr="00EE4BFE" w:rsidRDefault="00AE25CC" w:rsidP="007A06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25CC" w:rsidRPr="00EE4BFE" w:rsidTr="00B0781B">
        <w:trPr>
          <w:gridAfter w:val="1"/>
          <w:wAfter w:w="207" w:type="dxa"/>
          <w:trHeight w:val="845"/>
        </w:trPr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0781B" w:rsidRPr="00EE4BFE" w:rsidRDefault="00B0781B" w:rsidP="00B0781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781B" w:rsidRPr="00EE4BFE" w:rsidRDefault="00B0781B" w:rsidP="00B0781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781B" w:rsidRPr="00EE4BFE" w:rsidRDefault="00B0781B" w:rsidP="00B0781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(секретар) </w:t>
            </w:r>
          </w:p>
          <w:p w:rsidR="00B0781B" w:rsidRPr="00EE4BFE" w:rsidRDefault="00B0781B" w:rsidP="00B0781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 селищної ради</w:t>
            </w: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</w:t>
            </w: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</w:t>
            </w:r>
          </w:p>
          <w:p w:rsidR="00AE25CC" w:rsidRPr="00EE4BFE" w:rsidRDefault="00AE25CC" w:rsidP="007A06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781B" w:rsidRPr="00EE4BFE" w:rsidRDefault="00B0781B" w:rsidP="007A06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0781B" w:rsidRPr="00EE4BFE" w:rsidRDefault="00B0781B" w:rsidP="00B0781B">
            <w:pPr>
              <w:rPr>
                <w:lang w:val="uk-UA"/>
              </w:rPr>
            </w:pPr>
          </w:p>
          <w:p w:rsidR="00AE25CC" w:rsidRPr="00EE4BFE" w:rsidRDefault="00B0781B" w:rsidP="00B0781B">
            <w:pPr>
              <w:rPr>
                <w:lang w:val="uk-UA"/>
              </w:rPr>
            </w:pPr>
            <w:r w:rsidRPr="00EE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М.І.Тодоров</w:t>
            </w:r>
          </w:p>
        </w:tc>
      </w:tr>
      <w:tr w:rsidR="00AE25CC" w:rsidRPr="00EE4BFE" w:rsidTr="00B0781B">
        <w:trPr>
          <w:gridAfter w:val="1"/>
          <w:wAfter w:w="207" w:type="dxa"/>
          <w:trHeight w:val="441"/>
        </w:trPr>
        <w:tc>
          <w:tcPr>
            <w:tcW w:w="1051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25CC" w:rsidRPr="00EE4BFE" w:rsidRDefault="00AE25CC" w:rsidP="00E419C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E25CC" w:rsidRPr="00EE4BFE" w:rsidTr="00B0781B">
        <w:trPr>
          <w:gridBefore w:val="1"/>
          <w:wBefore w:w="142" w:type="dxa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5CC" w:rsidRPr="00EE4BFE" w:rsidRDefault="00AE25CC" w:rsidP="007A06C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25CC" w:rsidRPr="00EE4BFE" w:rsidRDefault="00AE25CC" w:rsidP="007A06C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5CC" w:rsidRPr="00EE4BFE" w:rsidRDefault="00AE25CC" w:rsidP="002203D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5CC" w:rsidRPr="00F61725" w:rsidTr="00B0781B">
        <w:trPr>
          <w:gridBefore w:val="1"/>
          <w:wBefore w:w="142" w:type="dxa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5CC" w:rsidRPr="00F61725" w:rsidRDefault="00AE25CC" w:rsidP="004B03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25CC" w:rsidRPr="00F61725" w:rsidRDefault="00AE25CC" w:rsidP="007A06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5CC" w:rsidRPr="00F61725" w:rsidRDefault="00AE25CC" w:rsidP="00326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5CC" w:rsidRPr="00F61725" w:rsidTr="00B0781B">
        <w:trPr>
          <w:gridBefore w:val="1"/>
          <w:wBefore w:w="142" w:type="dxa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F" w:rsidRPr="006834F5" w:rsidRDefault="004467EF" w:rsidP="007A06C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25CC" w:rsidRPr="00F61725" w:rsidRDefault="00AE25CC" w:rsidP="007A06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5CC" w:rsidRPr="00F61725" w:rsidRDefault="00AE25CC" w:rsidP="007A06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57F" w:rsidRDefault="002E157F" w:rsidP="00AE25C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E4BFE" w:rsidRDefault="00EE4BFE" w:rsidP="00AE25C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E4BFE" w:rsidRDefault="00EE4BFE" w:rsidP="00AE25C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E157F" w:rsidRPr="00EE4BFE" w:rsidRDefault="002E157F" w:rsidP="002E157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</w:t>
      </w:r>
      <w:r w:rsidR="00771754" w:rsidRPr="00EE4BF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467EF" w:rsidRPr="00EE4BF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71754" w:rsidRPr="00EE4B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BFE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2E157F" w:rsidRPr="00EE4BFE" w:rsidRDefault="002E157F" w:rsidP="002E157F">
      <w:pPr>
        <w:pStyle w:val="a3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до рішення виконавчого</w:t>
      </w:r>
    </w:p>
    <w:p w:rsidR="002E157F" w:rsidRPr="00EE4BFE" w:rsidRDefault="002E157F" w:rsidP="002E157F">
      <w:pPr>
        <w:pStyle w:val="a3"/>
        <w:ind w:left="5664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комітету Саратської  селищної ради</w:t>
      </w:r>
    </w:p>
    <w:p w:rsidR="002E157F" w:rsidRPr="00EE4BFE" w:rsidRDefault="002E157F" w:rsidP="002E157F">
      <w:pPr>
        <w:pStyle w:val="a3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467EF" w:rsidRPr="00EE4BFE">
        <w:rPr>
          <w:rFonts w:ascii="Times New Roman" w:hAnsi="Times New Roman"/>
          <w:sz w:val="24"/>
          <w:szCs w:val="24"/>
          <w:lang w:val="uk-UA"/>
        </w:rPr>
        <w:t xml:space="preserve"> 22  </w:t>
      </w:r>
      <w:r w:rsidRPr="00EE4BFE">
        <w:rPr>
          <w:rFonts w:ascii="Times New Roman" w:hAnsi="Times New Roman"/>
          <w:sz w:val="24"/>
          <w:szCs w:val="24"/>
          <w:lang w:val="uk-UA"/>
        </w:rPr>
        <w:t>листопада 2022 року</w:t>
      </w:r>
    </w:p>
    <w:p w:rsidR="002E157F" w:rsidRPr="00EE4BFE" w:rsidRDefault="002E157F" w:rsidP="002E157F">
      <w:pPr>
        <w:pStyle w:val="a3"/>
        <w:ind w:left="4956" w:firstLine="708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667DE2" w:rsidRPr="00EE4BFE">
        <w:rPr>
          <w:rFonts w:ascii="Times New Roman" w:hAnsi="Times New Roman"/>
          <w:sz w:val="24"/>
          <w:szCs w:val="24"/>
          <w:lang w:val="uk-UA"/>
        </w:rPr>
        <w:t>464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E157F" w:rsidRPr="00EE4BFE" w:rsidRDefault="002E157F" w:rsidP="002E157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E157F" w:rsidRPr="00EE4BFE" w:rsidRDefault="002E157F" w:rsidP="002E157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E157F" w:rsidRPr="00EE4BFE" w:rsidRDefault="002E157F" w:rsidP="002E157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 xml:space="preserve">Нова  редакція додатку 2 до рішення </w:t>
      </w:r>
      <w:r w:rsidRPr="00EE4BFE">
        <w:rPr>
          <w:rFonts w:ascii="Times New Roman" w:hAnsi="Times New Roman"/>
          <w:b/>
          <w:sz w:val="24"/>
          <w:szCs w:val="24"/>
          <w:lang w:val="uk-UA" w:eastAsia="ar-SA"/>
        </w:rPr>
        <w:t>виконавчого комітету від 01 березня 2021 року №37 «Про утворення комісії  з питань  техногенно-екологічної</w:t>
      </w:r>
      <w:r w:rsidRPr="00EE4BF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EE4BFE">
        <w:rPr>
          <w:rFonts w:ascii="Times New Roman" w:hAnsi="Times New Roman"/>
          <w:b/>
          <w:sz w:val="24"/>
          <w:szCs w:val="24"/>
          <w:lang w:val="uk-UA" w:eastAsia="ar-SA"/>
        </w:rPr>
        <w:t>безпеки  та надзвичайних ситуацій  виконавчого комітету Саратської селищної ради»</w:t>
      </w:r>
    </w:p>
    <w:p w:rsidR="002E157F" w:rsidRPr="00EE4BFE" w:rsidRDefault="002E157F" w:rsidP="002E157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57F" w:rsidRPr="00EE4BFE" w:rsidRDefault="002E157F" w:rsidP="002E157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2E157F" w:rsidRPr="00EE4BFE" w:rsidRDefault="002E157F" w:rsidP="002E157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4BFE">
        <w:rPr>
          <w:rFonts w:ascii="Times New Roman" w:hAnsi="Times New Roman"/>
          <w:b/>
          <w:sz w:val="24"/>
          <w:szCs w:val="24"/>
          <w:lang w:val="uk-UA"/>
        </w:rPr>
        <w:t>про комісію з питань техногенно-екологічної безпеки та надзвичайних ситуацій виконавчого комітету Саратської селищної ради</w:t>
      </w:r>
    </w:p>
    <w:p w:rsidR="002E157F" w:rsidRPr="00EE4BFE" w:rsidRDefault="002E157F" w:rsidP="002E15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1. Комісія з питань техногенно-екологічної безпеки та надзвичайних ситуацій виконавчого комітету Саратської селищної ради (далі - комісія) є постійно діючим органом, який утворюється за рішення виконавчого комітету селищної ради  для координації діяльності,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обласної комісії з питань техногенно-екологічної безпеки та надзвичайних ситуацій та цим Положенням.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3. Основними завданнями комісії на території Саратської селищної територіальної громади є: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1) координація діяльності, підприємств, установ та організацій, пов’язаної із: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функціонуванням територіальної підсистеми єдиної системи цивільного захисту;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забезпеченням реалізації вимог техногенної та пожежної безпеки;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навчанням населення діям у надзвичайній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визначенням меж зони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здійсненням постійного прогнозування зони можливого поширення надзвичайної ситуації та масштабів можливих наслідків;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організацією та здійсненням: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заходів з евакуації (у разі потреби);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вжиттям заходів щодо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lastRenderedPageBreak/>
        <w:t>- 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забезпеченням: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живучості об’єктів  національної економіки та державного управління під час реагування на надзвичайну ситуацію;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 об’єднаної енергетичної систем України;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безпеки та сталої роботи транспортної інфраструктури, послуг поштового зв’язку та всіх видів електричного зв’язку;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санітарного та епідемічного благополуччя населення;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організацією та керівництвом за проведенням робіт з ліквідації наслідків надзвичайних ситуацій  місцевого рівня;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 залізничних вузлів,  мостів, доріг тощо;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2) визначення шляхів та способів вирішення проблемних питань, що виникають під час: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функціонування територіальної підсистеми єдиної державної системи цивільного захисту та її ланок;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здійснення заходів: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щодо соціального захисту населення, що постраждало внаслідок виникнення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щодо медичного та біологічного захисту населення у разі виникнення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3) підвищення ефективності діяльності  органів місцевого самоврядування, підприємств, установ та організацій під час реагування на надзвичайну ситуацію.</w:t>
      </w:r>
    </w:p>
    <w:p w:rsidR="002E157F" w:rsidRPr="00EE4BFE" w:rsidRDefault="002E157F" w:rsidP="002E15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4. Комісія відповідно до покладених на неї завдань: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1) у режимі повсякденної діяльності: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здійснює координацію діяльності органів виконавчої влади та органів місцевого самоврядування щодо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lastRenderedPageBreak/>
        <w:t>-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2) у режимі підвищеної готовності: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забезпечує координацію заходів щодо запобігання виникненню надзвичайної ситуації  місцевого рівня;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готує пропозиції щодо визначення джерел і порядку фінансування заходів реагування на надзвичайну ситуацію;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3) у режимі надзвичайної ситуації: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організовує роботу з локалізації або ліквідації надзвичайної ситуації  місцевого рівня;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вживає заходів, необхідних для проведення аварійно-рятувальних та інших невідкладних робіт у небезпечних районах;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 місцевого рівня;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4) у режимі надзвичайного стану: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- 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«Про </w:t>
      </w:r>
      <w:r w:rsidRPr="00EE4BFE">
        <w:rPr>
          <w:rFonts w:ascii="Times New Roman" w:hAnsi="Times New Roman"/>
          <w:sz w:val="24"/>
          <w:szCs w:val="24"/>
          <w:lang w:val="uk-UA"/>
        </w:rPr>
        <w:lastRenderedPageBreak/>
        <w:t>правовий режим воєнного стану», «Про правовий режим надзвичайного стану», а також інших нормативно-правових актів;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5. Комісія має право: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залучати у разі потреби в установленому законодавством порядку до ліквідації наслідків надзвичайної ситуації регіонального та місцевого рівня сили і засоби Саратської ланки єдиної державної системи цивільного захисту;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заслуховувати інформацію керівників  місцевих органів виконавчої влади, органів місцевого самоврядування, підприємств, установ та організацій, розташованих на території Саратської селищної територіальної громади, з питань, що належать до їх компетенції, і давати їм відповідні доручення;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одержувати від територіальних органів центральних органів виконавчої влади, органів  місцевого самоврядування, підприємств, установ та організацій, розташованих на території Саратської селищної територіальної громади, матеріали і документи, необхідні для вирішення питань, що належать до її компетенції;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залучати до участі у своїй роботі представників  місцевих органів виконавчої влади, органів місцевого самоврядування, підприємств, установ та організацій, розташованих на території Саратської селищної територіальної громади (за погодженням з їх керівниками);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розглядати матеріали розслідувань про причини і наслідки виникнення надзвичайної ситуації та вносити пропозиції щодо притягнення до  адміністративної або кримінальної відповідальності посадових осіб, винних у її виникненні.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6. Головою комісії є Саратський селищний голова.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Роботою 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Засідання комісії веде голова, а за його відсутності - перший заступник голови.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Посадовий та персональний склад комісії затверджується рішенням виконавчого </w:t>
      </w:r>
      <w:proofErr w:type="spellStart"/>
      <w:r w:rsidRPr="00EE4BFE">
        <w:rPr>
          <w:rFonts w:ascii="Times New Roman" w:hAnsi="Times New Roman"/>
          <w:sz w:val="24"/>
          <w:szCs w:val="24"/>
          <w:lang w:val="uk-UA"/>
        </w:rPr>
        <w:t>комітета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 xml:space="preserve"> Саратської селищної ради  на основі пропозицій  місцевих органів виконавчої влади, органів місцевого самоврядування, підприємств, установ та організацій, розташованих на території Саратської селищної територіальної громади.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Голова комісії організовує її роботу за допомогою секретаря комісії.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7. Голова комісії має право: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приймати в межах повноважень комісії рішення щодо реагування на надзвичайну ситуацію;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- делегувати на період ліквідації наслідків надзвичайної ситуації свої повноваження заступникам голови комісії;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визначити функціональні обов’язки членів комісії (за напрямком роботи у складі комісії).</w:t>
      </w:r>
    </w:p>
    <w:p w:rsidR="002E157F" w:rsidRPr="00EE4BFE" w:rsidRDefault="002E157F" w:rsidP="00076C4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8. Робочим органом (секретаріатом) комісії, що забезпечує підготовку, скликання та проведення засідань, а також контроль за виконанням її рішень, є головний спеціаліст з питань цивільного захисту та мобілізаційної роботи Саратської селищної ради.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9. Комісія проводить засідання в разі потреби, але не менше одного разу на три місяця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lastRenderedPageBreak/>
        <w:t>Рішення комісії приймаються колегіально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2E157F" w:rsidRPr="00EE4BFE" w:rsidRDefault="00765701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10</w:t>
      </w:r>
      <w:r w:rsidR="002E157F" w:rsidRPr="00EE4BFE">
        <w:rPr>
          <w:rFonts w:ascii="Times New Roman" w:hAnsi="Times New Roman"/>
          <w:sz w:val="24"/>
          <w:szCs w:val="24"/>
          <w:lang w:val="uk-UA"/>
        </w:rPr>
        <w:t xml:space="preserve">. Голова комісії може прийняти рішення про проведення засідання комісії в режимі </w:t>
      </w:r>
      <w:proofErr w:type="spellStart"/>
      <w:r w:rsidR="002E157F" w:rsidRPr="00EE4BFE">
        <w:rPr>
          <w:rFonts w:ascii="Times New Roman" w:hAnsi="Times New Roman"/>
          <w:sz w:val="24"/>
          <w:szCs w:val="24"/>
          <w:lang w:val="uk-UA"/>
        </w:rPr>
        <w:t>відеоконференції</w:t>
      </w:r>
      <w:proofErr w:type="spellEnd"/>
      <w:r w:rsidR="002E157F" w:rsidRPr="00EE4BFE">
        <w:rPr>
          <w:rFonts w:ascii="Times New Roman" w:hAnsi="Times New Roman"/>
          <w:sz w:val="24"/>
          <w:szCs w:val="24"/>
          <w:lang w:val="uk-UA"/>
        </w:rPr>
        <w:t xml:space="preserve"> з використанням відповідного програмного забезпечення, зокрема через Інтернет (далі - </w:t>
      </w:r>
      <w:proofErr w:type="spellStart"/>
      <w:r w:rsidR="002E157F" w:rsidRPr="00EE4BFE">
        <w:rPr>
          <w:rFonts w:ascii="Times New Roman" w:hAnsi="Times New Roman"/>
          <w:sz w:val="24"/>
          <w:szCs w:val="24"/>
          <w:lang w:val="uk-UA"/>
        </w:rPr>
        <w:t>онлайн-засідання</w:t>
      </w:r>
      <w:proofErr w:type="spellEnd"/>
      <w:r w:rsidR="002E157F" w:rsidRPr="00EE4BFE">
        <w:rPr>
          <w:rFonts w:ascii="Times New Roman" w:hAnsi="Times New Roman"/>
          <w:sz w:val="24"/>
          <w:szCs w:val="24"/>
          <w:lang w:val="uk-UA"/>
        </w:rPr>
        <w:t xml:space="preserve"> комісії). В </w:t>
      </w:r>
      <w:proofErr w:type="spellStart"/>
      <w:r w:rsidR="002E157F" w:rsidRPr="00EE4BFE">
        <w:rPr>
          <w:rFonts w:ascii="Times New Roman" w:hAnsi="Times New Roman"/>
          <w:sz w:val="24"/>
          <w:szCs w:val="24"/>
          <w:lang w:val="uk-UA"/>
        </w:rPr>
        <w:t>онлайн-засіданні</w:t>
      </w:r>
      <w:proofErr w:type="spellEnd"/>
      <w:r w:rsidR="002E157F" w:rsidRPr="00EE4BFE">
        <w:rPr>
          <w:rFonts w:ascii="Times New Roman" w:hAnsi="Times New Roman"/>
          <w:sz w:val="24"/>
          <w:szCs w:val="24"/>
          <w:lang w:val="uk-UA"/>
        </w:rPr>
        <w:t xml:space="preserve"> комісії беруть участь члени комісії, а також інші особи, які визначені її головою.</w:t>
      </w:r>
      <w:bookmarkStart w:id="0" w:name="n108"/>
      <w:bookmarkEnd w:id="0"/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E4BFE">
        <w:rPr>
          <w:rFonts w:ascii="Times New Roman" w:hAnsi="Times New Roman"/>
          <w:sz w:val="24"/>
          <w:szCs w:val="24"/>
          <w:lang w:val="uk-UA"/>
        </w:rPr>
        <w:t>Онлайн-засідання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 xml:space="preserve"> комісії можуть проводитися у невідкладних випадках, пов’язаних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109"/>
      <w:bookmarkEnd w:id="1"/>
      <w:r w:rsidRPr="00EE4BFE">
        <w:rPr>
          <w:rFonts w:ascii="Times New Roman" w:hAnsi="Times New Roman"/>
          <w:sz w:val="24"/>
          <w:szCs w:val="24"/>
          <w:lang w:val="uk-UA"/>
        </w:rPr>
        <w:t xml:space="preserve">Підготовка та проведення </w:t>
      </w:r>
      <w:proofErr w:type="spellStart"/>
      <w:r w:rsidRPr="00EE4BFE">
        <w:rPr>
          <w:rFonts w:ascii="Times New Roman" w:hAnsi="Times New Roman"/>
          <w:sz w:val="24"/>
          <w:szCs w:val="24"/>
          <w:lang w:val="uk-UA"/>
        </w:rPr>
        <w:t>онлайн-засідання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 xml:space="preserve"> комісії здійснюються секретаріатом комісії за допомогою відповідних структурних підрозділів</w:t>
      </w:r>
      <w:r w:rsidR="00076C4A" w:rsidRPr="00EE4BFE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Pr="00EE4BFE">
        <w:rPr>
          <w:rFonts w:ascii="Times New Roman" w:hAnsi="Times New Roman"/>
          <w:sz w:val="24"/>
          <w:szCs w:val="24"/>
          <w:lang w:val="uk-UA"/>
        </w:rPr>
        <w:t>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n110"/>
      <w:bookmarkEnd w:id="2"/>
      <w:r w:rsidRPr="00EE4BFE">
        <w:rPr>
          <w:rFonts w:ascii="Times New Roman" w:hAnsi="Times New Roman"/>
          <w:sz w:val="24"/>
          <w:szCs w:val="24"/>
          <w:lang w:val="uk-UA"/>
        </w:rPr>
        <w:t xml:space="preserve">Секретаріат комісії забезпечує інформування членів комісії та інших визначених головуючим осіб, які будуть брати участь в </w:t>
      </w:r>
      <w:proofErr w:type="spellStart"/>
      <w:r w:rsidRPr="00EE4BFE">
        <w:rPr>
          <w:rFonts w:ascii="Times New Roman" w:hAnsi="Times New Roman"/>
          <w:sz w:val="24"/>
          <w:szCs w:val="24"/>
          <w:lang w:val="uk-UA"/>
        </w:rPr>
        <w:t>онлайн-засіданні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 xml:space="preserve"> комісії, про дату і час проведення засідання та надсилає їм проект порядку денного.</w:t>
      </w:r>
    </w:p>
    <w:p w:rsidR="002E157F" w:rsidRPr="00EE4BFE" w:rsidRDefault="002E157F" w:rsidP="00076C4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n111"/>
      <w:bookmarkEnd w:id="3"/>
      <w:r w:rsidRPr="00EE4BFE">
        <w:rPr>
          <w:rFonts w:ascii="Times New Roman" w:hAnsi="Times New Roman"/>
          <w:sz w:val="24"/>
          <w:szCs w:val="24"/>
          <w:lang w:val="uk-UA"/>
        </w:rPr>
        <w:t xml:space="preserve">Організаційно-технічне забезпечення проведення </w:t>
      </w:r>
      <w:proofErr w:type="spellStart"/>
      <w:r w:rsidRPr="00EE4BFE">
        <w:rPr>
          <w:rFonts w:ascii="Times New Roman" w:hAnsi="Times New Roman"/>
          <w:sz w:val="24"/>
          <w:szCs w:val="24"/>
          <w:lang w:val="uk-UA"/>
        </w:rPr>
        <w:t>онлайн-засідання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 xml:space="preserve"> комісії покладається на 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провідного спеціаліста з комп’ютерних технологій</w:t>
      </w:r>
      <w:r w:rsidRPr="00EE4B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C4A" w:rsidRPr="00EE4BFE">
        <w:rPr>
          <w:rFonts w:ascii="Times New Roman" w:hAnsi="Times New Roman"/>
          <w:sz w:val="24"/>
          <w:szCs w:val="24"/>
          <w:lang w:val="uk-UA"/>
        </w:rPr>
        <w:t>селищної ради</w:t>
      </w:r>
      <w:r w:rsidRPr="00EE4BFE">
        <w:rPr>
          <w:rFonts w:ascii="Times New Roman" w:hAnsi="Times New Roman"/>
          <w:sz w:val="24"/>
          <w:szCs w:val="24"/>
          <w:lang w:val="uk-UA"/>
        </w:rPr>
        <w:t>.</w:t>
      </w:r>
    </w:p>
    <w:p w:rsidR="002E157F" w:rsidRPr="00EE4BFE" w:rsidRDefault="002E157F" w:rsidP="00076C4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n112"/>
      <w:bookmarkEnd w:id="4"/>
      <w:r w:rsidRPr="00EE4BFE">
        <w:rPr>
          <w:rFonts w:ascii="Times New Roman" w:hAnsi="Times New Roman"/>
          <w:sz w:val="24"/>
          <w:szCs w:val="24"/>
          <w:lang w:val="uk-UA"/>
        </w:rPr>
        <w:t xml:space="preserve">Результати </w:t>
      </w:r>
      <w:proofErr w:type="spellStart"/>
      <w:r w:rsidRPr="00EE4BFE">
        <w:rPr>
          <w:rFonts w:ascii="Times New Roman" w:hAnsi="Times New Roman"/>
          <w:sz w:val="24"/>
          <w:szCs w:val="24"/>
          <w:lang w:val="uk-UA"/>
        </w:rPr>
        <w:t>онлайн-засідання</w:t>
      </w:r>
      <w:proofErr w:type="spellEnd"/>
      <w:r w:rsidRPr="00EE4BFE">
        <w:rPr>
          <w:rFonts w:ascii="Times New Roman" w:hAnsi="Times New Roman"/>
          <w:sz w:val="24"/>
          <w:szCs w:val="24"/>
          <w:lang w:val="uk-UA"/>
        </w:rPr>
        <w:t xml:space="preserve"> комісії оформлюються протоколом, який підписується головуючим та відповідальним секретарем комісії.</w:t>
      </w:r>
    </w:p>
    <w:p w:rsidR="002E157F" w:rsidRPr="00EE4BFE" w:rsidRDefault="002E157F" w:rsidP="00076C4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1</w:t>
      </w:r>
      <w:r w:rsidRPr="00EE4BFE">
        <w:rPr>
          <w:rFonts w:ascii="Times New Roman" w:hAnsi="Times New Roman"/>
          <w:sz w:val="24"/>
          <w:szCs w:val="24"/>
          <w:lang w:val="uk-UA"/>
        </w:rPr>
        <w:t>. 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Саратської селищної територіальної громади.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2</w:t>
      </w:r>
      <w:r w:rsidRPr="00EE4BFE">
        <w:rPr>
          <w:rFonts w:ascii="Times New Roman" w:hAnsi="Times New Roman"/>
          <w:sz w:val="24"/>
          <w:szCs w:val="24"/>
          <w:lang w:val="uk-UA"/>
        </w:rPr>
        <w:t>. За членами комісії на час виконання завдань зберігається заробітна плата за основним місцем роботи.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3</w:t>
      </w:r>
      <w:r w:rsidRPr="00EE4BFE">
        <w:rPr>
          <w:rFonts w:ascii="Times New Roman" w:hAnsi="Times New Roman"/>
          <w:sz w:val="24"/>
          <w:szCs w:val="24"/>
          <w:lang w:val="uk-UA"/>
        </w:rPr>
        <w:t>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виконавчий комітет Саратської селищної  ради.</w:t>
      </w:r>
    </w:p>
    <w:p w:rsidR="002E157F" w:rsidRPr="00EE4BFE" w:rsidRDefault="002E157F" w:rsidP="002E15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>1</w:t>
      </w:r>
      <w:r w:rsidR="00765701" w:rsidRPr="00EE4BFE">
        <w:rPr>
          <w:rFonts w:ascii="Times New Roman" w:hAnsi="Times New Roman"/>
          <w:sz w:val="24"/>
          <w:szCs w:val="24"/>
          <w:lang w:val="uk-UA"/>
        </w:rPr>
        <w:t>4</w:t>
      </w:r>
      <w:r w:rsidRPr="00EE4BFE">
        <w:rPr>
          <w:rFonts w:ascii="Times New Roman" w:hAnsi="Times New Roman"/>
          <w:sz w:val="24"/>
          <w:szCs w:val="24"/>
          <w:lang w:val="uk-UA"/>
        </w:rPr>
        <w:t>. Комісія має бланк із зображенням Державного Герба України і своїм найменуванням.</w:t>
      </w:r>
    </w:p>
    <w:p w:rsidR="002E157F" w:rsidRPr="00EE4BFE" w:rsidRDefault="002E157F" w:rsidP="002E157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BF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:rsidR="002E157F" w:rsidRPr="00EE4BFE" w:rsidRDefault="002E157F" w:rsidP="002E15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E157F" w:rsidRPr="00EE4BFE" w:rsidRDefault="002E157F" w:rsidP="002E1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57F" w:rsidRPr="00EE4BFE" w:rsidRDefault="002E157F" w:rsidP="002E1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57F" w:rsidRPr="00EE4BFE" w:rsidRDefault="002E157F" w:rsidP="002E1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57F" w:rsidRPr="00EE4BFE" w:rsidRDefault="002E157F" w:rsidP="002E1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(секретар) виконавчого </w:t>
      </w:r>
    </w:p>
    <w:p w:rsidR="002E157F" w:rsidRPr="00EE4BFE" w:rsidRDefault="002E157F" w:rsidP="002E1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BFE">
        <w:rPr>
          <w:rFonts w:ascii="Times New Roman" w:hAnsi="Times New Roman" w:cs="Times New Roman"/>
          <w:sz w:val="24"/>
          <w:szCs w:val="24"/>
          <w:lang w:val="uk-UA"/>
        </w:rPr>
        <w:t>комітету селищної ради</w:t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4B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М.І.Тодоров</w:t>
      </w:r>
    </w:p>
    <w:p w:rsidR="002E157F" w:rsidRPr="00EE4BFE" w:rsidRDefault="002E157F" w:rsidP="002E1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7DE7" w:rsidRPr="00AE25CC" w:rsidRDefault="00F87DE7">
      <w:pPr>
        <w:rPr>
          <w:lang w:val="uk-UA"/>
        </w:rPr>
      </w:pPr>
    </w:p>
    <w:sectPr w:rsidR="00F87DE7" w:rsidRPr="00AE25CC" w:rsidSect="0054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5CC"/>
    <w:rsid w:val="00001CA7"/>
    <w:rsid w:val="00050C15"/>
    <w:rsid w:val="00076C4A"/>
    <w:rsid w:val="000A17BB"/>
    <w:rsid w:val="000F74DB"/>
    <w:rsid w:val="002203D7"/>
    <w:rsid w:val="00243613"/>
    <w:rsid w:val="00257E52"/>
    <w:rsid w:val="002E157F"/>
    <w:rsid w:val="00326EFB"/>
    <w:rsid w:val="00366E4A"/>
    <w:rsid w:val="00385C19"/>
    <w:rsid w:val="00443A9F"/>
    <w:rsid w:val="004467EF"/>
    <w:rsid w:val="0045139B"/>
    <w:rsid w:val="00460B97"/>
    <w:rsid w:val="004749AA"/>
    <w:rsid w:val="004B030B"/>
    <w:rsid w:val="004F2421"/>
    <w:rsid w:val="00526F86"/>
    <w:rsid w:val="00543C66"/>
    <w:rsid w:val="0059198F"/>
    <w:rsid w:val="00667DE2"/>
    <w:rsid w:val="00765701"/>
    <w:rsid w:val="00771754"/>
    <w:rsid w:val="007A06CA"/>
    <w:rsid w:val="007A6412"/>
    <w:rsid w:val="009B4764"/>
    <w:rsid w:val="009D29AF"/>
    <w:rsid w:val="009E5BB6"/>
    <w:rsid w:val="009E7304"/>
    <w:rsid w:val="00AE25CC"/>
    <w:rsid w:val="00B0781B"/>
    <w:rsid w:val="00B77007"/>
    <w:rsid w:val="00C313F5"/>
    <w:rsid w:val="00DD61C6"/>
    <w:rsid w:val="00E419C6"/>
    <w:rsid w:val="00E83396"/>
    <w:rsid w:val="00EE4BFE"/>
    <w:rsid w:val="00F01AF4"/>
    <w:rsid w:val="00F41678"/>
    <w:rsid w:val="00F574BC"/>
    <w:rsid w:val="00F8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5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C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F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AD10-0661-41E8-808C-418D2A5E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KMS</cp:lastModifiedBy>
  <cp:revision>3</cp:revision>
  <cp:lastPrinted>2022-11-22T10:19:00Z</cp:lastPrinted>
  <dcterms:created xsi:type="dcterms:W3CDTF">2022-12-05T07:49:00Z</dcterms:created>
  <dcterms:modified xsi:type="dcterms:W3CDTF">2022-12-05T08:54:00Z</dcterms:modified>
</cp:coreProperties>
</file>